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40" w:afterAutospacing="0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sz w:val="74"/>
          <w:szCs w:val="74"/>
        </w:rPr>
        <w:t>郑州市教育局文件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ind w:left="2130"/>
      </w:pPr>
      <w:r>
        <w:rPr>
          <w:rFonts w:hint="default" w:ascii="仿宋_GB2312" w:eastAsia="仿宋_GB2312" w:cs="仿宋_GB2312"/>
          <w:sz w:val="32"/>
          <w:szCs w:val="32"/>
        </w:rPr>
        <w:t xml:space="preserve">郑教师〔 </w:t>
      </w:r>
      <w:r>
        <w:rPr>
          <w:rFonts w:hint="default" w:ascii="Times New Roman" w:hAnsi="Times New Roman" w:cs="Times New Roman"/>
          <w:sz w:val="32"/>
          <w:szCs w:val="32"/>
        </w:rPr>
        <w:t xml:space="preserve">2012 </w:t>
      </w:r>
      <w:r>
        <w:rPr>
          <w:rFonts w:hint="default" w:ascii="仿宋_GB2312" w:eastAsia="仿宋_GB2312" w:cs="仿宋_GB2312"/>
          <w:sz w:val="32"/>
          <w:szCs w:val="32"/>
        </w:rPr>
        <w:t xml:space="preserve">〕 </w:t>
      </w:r>
      <w:r>
        <w:rPr>
          <w:rFonts w:hint="default" w:ascii="Times New Roman" w:hAnsi="Times New Roman" w:cs="Times New Roman"/>
          <w:sz w:val="32"/>
          <w:szCs w:val="32"/>
        </w:rPr>
        <w:t xml:space="preserve">123 </w:t>
      </w:r>
      <w:r>
        <w:rPr>
          <w:rFonts w:hint="default" w:ascii="仿宋_GB2312" w:eastAsia="仿宋_GB2312" w:cs="仿宋_GB2312"/>
          <w:sz w:val="32"/>
          <w:szCs w:val="32"/>
        </w:rPr>
        <w:t xml:space="preserve">号 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仿宋_GB2312" w:eastAsia="仿宋_GB2312" w:cs="仿宋_GB2312"/>
          <w:sz w:val="32"/>
          <w:szCs w:val="32"/>
        </w:rPr>
        <w:t>各县（市、区）教育局，市教育局直属各学校，市属事业及各民办学校，郑州师院，中州大学：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32"/>
          <w:szCs w:val="32"/>
        </w:rPr>
        <w:t>为规范教育经费管理，充分发挥市级名师和杰出教师科研经费使用效益，经研究，我们制定了《郑州市名师和杰出教师科研经费管理办法》。现印发给你们，请认真贯彻执行。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仿宋_GB2312" w:eastAsia="仿宋_GB2312" w:cs="仿宋_GB2312"/>
          <w:sz w:val="32"/>
          <w:szCs w:val="32"/>
        </w:rPr>
        <w:t>附件：郑州市名师和杰出教师科研经费管理办法</w:t>
      </w:r>
    </w:p>
    <w:p>
      <w:pPr>
        <w:pStyle w:val="2"/>
        <w:keepNext w:val="0"/>
        <w:keepLines w:val="0"/>
        <w:widowControl/>
        <w:suppressLineNumbers w:val="0"/>
        <w:ind w:left="3720"/>
      </w:pPr>
      <w:r>
        <w:rPr>
          <w:rFonts w:hint="default" w:ascii="仿宋_GB2312" w:eastAsia="仿宋_GB2312" w:cs="仿宋_GB2312"/>
          <w:sz w:val="32"/>
          <w:szCs w:val="32"/>
        </w:rPr>
        <w:t xml:space="preserve">二○一二年九月十日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仿宋_GB2312" w:eastAsia="仿宋_GB2312" w:cs="仿宋_GB2312"/>
          <w:sz w:val="32"/>
          <w:szCs w:val="32"/>
        </w:rPr>
        <w:t xml:space="preserve">附件： </w:t>
      </w:r>
    </w:p>
    <w:p>
      <w:pPr>
        <w:pStyle w:val="2"/>
        <w:keepNext w:val="0"/>
        <w:keepLines w:val="0"/>
        <w:widowControl/>
        <w:suppressLineNumbers w:val="0"/>
        <w:ind w:left="585"/>
        <w:rPr>
          <w:sz w:val="36"/>
          <w:szCs w:val="36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郑州市杰出教师和名师科研经费管理办法</w:t>
      </w:r>
      <w:bookmarkEnd w:id="0"/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</w:pPr>
      <w:r>
        <w:rPr>
          <w:rFonts w:hint="default" w:ascii="仿宋_GB2312" w:eastAsia="仿宋_GB2312" w:cs="仿宋_GB2312"/>
          <w:sz w:val="32"/>
          <w:szCs w:val="32"/>
        </w:rPr>
        <w:t xml:space="preserve">为激发全市杰出教师、名师开展教育科研工作的积极性、 主动性，市教育局设立了杰出教师、名师专项科研经费。 为规范教育经费管理，管好、用好名师和杰出教师科研经费，切实发挥经费使用效益，特制定本办法。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黑体" w:hAnsi="宋体" w:eastAsia="黑体" w:cs="黑体"/>
          <w:sz w:val="32"/>
          <w:szCs w:val="32"/>
        </w:rPr>
        <w:t xml:space="preserve">一、 经费标准 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default" w:ascii="仿宋_GB2312" w:eastAsia="仿宋_GB2312" w:cs="仿宋_GB2312"/>
          <w:sz w:val="32"/>
          <w:szCs w:val="32"/>
        </w:rPr>
        <w:t xml:space="preserve">市教育局设立“郑州市杰出教师、 名师科研经费专项资金”，在杰出教师、 名师任期内分年度安排， 支持其开展教育科研工作。具体标准为： 杰出教师科研经费按照每人每年 8000 元、 名师科研经费按照每人每年 5000 元标准执行。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黑体" w:hAnsi="宋体" w:eastAsia="黑体" w:cs="黑体"/>
          <w:sz w:val="32"/>
          <w:szCs w:val="32"/>
        </w:rPr>
        <w:t xml:space="preserve">二、 使用范围 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default" w:ascii="仿宋_GB2312" w:eastAsia="仿宋_GB2312" w:cs="仿宋_GB2312"/>
          <w:sz w:val="32"/>
          <w:szCs w:val="32"/>
        </w:rPr>
        <w:t>科研经费主要用于从事课题调研、 课题研究，具体支付范围为：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仿宋_GB2312" w:eastAsia="仿宋_GB2312" w:cs="仿宋_GB2312"/>
          <w:sz w:val="32"/>
          <w:szCs w:val="32"/>
        </w:rPr>
        <w:t>（一） 必需的仪器设备及办公设备购置、 专业参考书刊及报刊等资料订购、学术论文打印等支出。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default" w:ascii="仿宋_GB2312" w:eastAsia="仿宋_GB2312" w:cs="仿宋_GB2312"/>
          <w:sz w:val="32"/>
          <w:szCs w:val="32"/>
        </w:rPr>
        <w:t>（二）参加学术会议、外出学习考察发生的差旅费等支出。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default" w:ascii="仿宋_GB2312" w:eastAsia="仿宋_GB2312" w:cs="仿宋_GB2312"/>
          <w:sz w:val="32"/>
          <w:szCs w:val="32"/>
        </w:rPr>
        <w:t xml:space="preserve">（三） 送课下乡、受邀讲座或邀请专家讲座等学术活动产生的交通及补助等支出。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黑体" w:hAnsi="宋体" w:eastAsia="黑体" w:cs="黑体"/>
          <w:sz w:val="32"/>
          <w:szCs w:val="32"/>
        </w:rPr>
        <w:t xml:space="preserve">三、 管理办法 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default" w:ascii="仿宋_GB2312" w:eastAsia="仿宋_GB2312" w:cs="仿宋_GB2312"/>
          <w:sz w:val="32"/>
          <w:szCs w:val="32"/>
        </w:rPr>
        <w:t>（一） 每年杰出教师和名师科研经费由市教育局师训处按照标准核算，报财务处审批，由财务处以专项经费划拨至各单位。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default" w:ascii="仿宋_GB2312" w:eastAsia="仿宋_GB2312" w:cs="仿宋_GB2312"/>
          <w:sz w:val="32"/>
          <w:szCs w:val="32"/>
        </w:rPr>
        <w:t>（二）科研经费的使用报销须经学校财务科及校领导审批，名师持签章的批件办理报销手续。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仿宋_GB2312" w:eastAsia="仿宋_GB2312" w:cs="仿宋_GB2312"/>
          <w:sz w:val="32"/>
          <w:szCs w:val="32"/>
        </w:rPr>
        <w:t>（三） 用科研费购置的图书、仪器设备等所有权属名师所在单位，须经有关人员验收、所在单位登记后方能报销。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仿宋_GB2312" w:eastAsia="仿宋_GB2312" w:cs="仿宋_GB2312"/>
          <w:sz w:val="32"/>
          <w:szCs w:val="32"/>
        </w:rPr>
        <w:t>（四） 科研经费列支项目纳入学校的年初预算。 经费由各杰出教师和名师所在学校统一管理，专款专用。学校负责按照财务管理有关规定监督检查经费使用情况。</w:t>
      </w:r>
      <w:r>
        <w:rPr>
          <w:rFonts w:hint="default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</w:rPr>
        <w:t xml:space="preserve">此办法从下文之日起执行。 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ind w:left="0"/>
        <w:jc w:val="center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仿宋_GB2312" w:eastAsia="仿宋_GB2312" w:cs="仿宋_GB2312"/>
          <w:sz w:val="32"/>
          <w:szCs w:val="32"/>
        </w:rPr>
        <w:t>郑州市教育局办公室 2012 年 9 月 12 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3EE5"/>
    <w:rsid w:val="19E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2018-11-08T05:57:00Z</dcterms:created>
  <dc:creator>BY1711107</dc:creator>
  <cp:lastModifiedBy>BY1711107</cp:lastModifiedBy>
  <dcterms:modified xsi:type="dcterms:W3CDTF">2018-11-08T06:00:29Z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