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rPr>
          <w:rFonts w:hint="eastAsia" w:eastAsia="宋体"/>
          <w:lang w:eastAsia="zh-CN"/>
        </w:rPr>
        <w:pict>
          <v:shape id="_x0000_s1051" o:spid="_x0000_s1051" o:spt="75" type="#_x0000_t75" style="position:absolute;left:0pt;margin-left:-89.3pt;margin-top:-71.85pt;height:451.85pt;width:595.35pt;z-index:-251655168;mso-width-relative:page;mso-height-relative:page;" filled="f" stroked="f" coordsize="21600,21600">
            <v:path/>
            <v:fill on="f" focussize="0,0"/>
            <v:stroke on="f"/>
            <v:imagedata r:id="rId6" o:title="未标题-1"/>
            <o:lock v:ext="edit" grouping="f" rotation="f" text="f" aspectratio="t"/>
          </v:shape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sectPr>
          <w:head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pict>
          <v:rect id="_x0000_s1050" o:spid="_x0000_s1050" o:spt="1" style="position:absolute;left:0pt;margin-left:121.7pt;margin-top:542.05pt;height:56.95pt;width:180.2pt;z-index:251660288;v-text-anchor:bottom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1.27mm,2.54mm,1.27mm">
              <w:txbxContent>
                <w:p>
                  <w:pPr>
                    <w:ind w:left="0" w:leftChars="0" w:right="0" w:rightChars="0" w:firstLine="0" w:firstLineChars="0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sz w:val="24"/>
                      <w:lang w:val="en-US" w:eastAsia="zh-CN"/>
                    </w:rPr>
                  </w:pPr>
                  <w:bookmarkStart w:id="9" w:name="_Date#327175886"/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sz w:val="24"/>
                      <w:lang w:val="en-US" w:eastAsia="zh-CN"/>
                    </w:rPr>
                    <w:t>通远股份</w:t>
                  </w:r>
                </w:p>
                <w:bookmarkEnd w:id="9"/>
                <w:p>
                  <w:pPr>
                    <w:ind w:left="0" w:leftChars="0" w:right="0" w:rightChars="0" w:firstLine="0" w:firstLineChars="0"/>
                    <w:jc w:val="both"/>
                    <w:rPr>
                      <w:rFonts w:hint="eastAsia" w:ascii="微软雅黑" w:hAnsi="微软雅黑" w:eastAsia="微软雅黑" w:cs="微软雅黑"/>
                      <w:b w:val="0"/>
                      <w:bCs w:val="0"/>
                    </w:rPr>
                  </w:pPr>
                </w:p>
              </w:txbxContent>
            </v:textbox>
          </v:rect>
        </w:pic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1558925</wp:posOffset>
                </wp:positionH>
                <wp:positionV relativeFrom="paragraph">
                  <wp:posOffset>7219950</wp:posOffset>
                </wp:positionV>
                <wp:extent cx="2288540" cy="466725"/>
                <wp:effectExtent l="0" t="0" r="0" b="0"/>
                <wp:wrapNone/>
                <wp:docPr id="151" name="矩形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854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left="0" w:leftChars="0" w:right="0" w:rightChars="0" w:firstLine="0" w:firstLineChars="0"/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sz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4"/>
                                <w:lang w:val="en-US" w:eastAsia="zh-CN"/>
                              </w:rPr>
                              <w:t>2020年2月</w:t>
                            </w:r>
                          </w:p>
                          <w:p>
                            <w:pPr>
                              <w:ind w:left="0" w:leftChars="0" w:right="0" w:rightChars="0" w:firstLine="0" w:firstLineChars="0"/>
                              <w:jc w:val="both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</w:rPr>
                            </w:pPr>
                          </w:p>
                        </w:txbxContent>
                      </wps:txbx>
                      <wps:bodyPr lIns="0" tIns="45720" rIns="91440" bIns="45720" anchor="b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2.75pt;margin-top:568.5pt;height:36.75pt;width:180.2pt;z-index:251665408;v-text-anchor:bottom;mso-width-relative:page;mso-height-relative:page;" filled="f" stroked="f" coordsize="21600,21600" o:gfxdata="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xTBTatsAAAAN&#10;AQAADwAAAAAAAAABACAAAAAiAAAAZHJzL2Rvd25yZXYueG1sUEsBAhQAFAAAAAgAh07iQCP6QTKn&#10;AQAAMgMAAA4AAAAAAAAAAQAgAAAAKg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0mm,1.27mm,2.54mm,1.27mm">
                  <w:txbxContent>
                    <w:p>
                      <w:pPr>
                        <w:ind w:left="0" w:leftChars="0" w:right="0" w:rightChars="0" w:firstLine="0" w:firstLineChars="0"/>
                        <w:jc w:val="center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sz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24"/>
                          <w:lang w:val="en-US" w:eastAsia="zh-CN"/>
                        </w:rPr>
                        <w:t>2020年2月</w:t>
                      </w:r>
                    </w:p>
                    <w:p>
                      <w:pPr>
                        <w:ind w:left="0" w:leftChars="0" w:right="0" w:rightChars="0" w:firstLine="0" w:firstLineChars="0"/>
                        <w:jc w:val="both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pict>
          <v:rect id="_x0000_s1052" o:spid="_x0000_s1052" o:spt="1" style="position:absolute;left:0pt;margin-left:0.25pt;margin-top:381.65pt;height:38.4pt;width:423.6pt;z-index:251659264;mso-width-relative:page;mso-height-relative:page;" fillcolor="#FFFFFF" filled="t" stroked="f" coordsize="21600,21600">
            <v:path/>
            <v:fill on="t" color2="#FFFFFF" focussize="0,0"/>
            <v:stroke on="f"/>
            <v:imagedata o:title=""/>
            <o:lock v:ext="edit" aspectratio="f"/>
            <v:textbox style="mso-fit-shape-to-text:t;">
              <w:txbxContent>
                <w:p>
                  <w:pPr>
                    <w:jc w:val="center"/>
                    <w:rPr>
                      <w:rFonts w:hint="eastAsia" w:ascii="微软雅黑" w:hAnsi="微软雅黑" w:eastAsia="微软雅黑" w:cs="微软雅黑"/>
                      <w:b/>
                      <w:bCs/>
                      <w:sz w:val="44"/>
                      <w:szCs w:val="44"/>
                    </w:rPr>
                  </w:pPr>
                  <w:bookmarkStart w:id="10" w:name="_Abstract#3451862810"/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808080"/>
                      <w:sz w:val="44"/>
                      <w:szCs w:val="44"/>
                      <w:lang w:val="zh-CN"/>
                    </w:rPr>
                    <w:t>[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808080"/>
                      <w:sz w:val="44"/>
                      <w:szCs w:val="44"/>
                      <w:lang w:val="en-US" w:eastAsia="zh-CN"/>
                    </w:rPr>
                    <w:t>院系管理员版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808080"/>
                      <w:sz w:val="44"/>
                      <w:szCs w:val="44"/>
                      <w:lang w:val="zh-CN"/>
                    </w:rPr>
                    <w:t>]</w:t>
                  </w:r>
                  <w:bookmarkEnd w:id="10"/>
                </w:p>
              </w:txbxContent>
            </v:textbox>
          </v:rect>
        </w:pict>
      </w:r>
      <w:bookmarkStart w:id="11" w:name="_GoBack"/>
      <w:bookmarkEnd w:id="11"/>
      <w:r>
        <w:pict>
          <v:rect id="_x0000_s1053" o:spid="_x0000_s1053" o:spt="1" style="position:absolute;left:0pt;margin-left:-11.1pt;margin-top:314.75pt;height:69.6pt;width:448.85pt;z-index:251658240;mso-width-relative:page;mso-height-relative:page;" fillcolor="#FFFFFF" filled="t" stroked="f" coordsize="21600,21600">
            <v:path/>
            <v:fill on="t" color2="#FFFFFF" focussize="0,0"/>
            <v:stroke on="f"/>
            <v:imagedata o:title=""/>
            <o:lock v:ext="edit" aspectratio="f"/>
            <v:textbox style="mso-fit-shape-to-text:t;">
              <w:txbxContent>
                <w:p>
                  <w:pPr>
                    <w:pStyle w:val="13"/>
                    <w:rPr>
                      <w:rFonts w:hint="eastAsia" w:ascii="微软雅黑" w:hAnsi="微软雅黑" w:eastAsia="微软雅黑" w:cs="微软雅黑"/>
                      <w:sz w:val="84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84"/>
                      <w:lang w:val="en-US" w:eastAsia="zh-CN"/>
                    </w:rPr>
                    <w:t>G·格子达系统操作手册</w:t>
                  </w:r>
                </w:p>
              </w:txbxContent>
            </v:textbox>
          </v:rect>
        </w:pict>
      </w:r>
      <w:r>
        <w:rPr>
          <w:sz w:val="20"/>
          <w:szCs w:val="18"/>
        </w:rPr>
        <w:drawing>
          <wp:inline distT="0" distB="0" distL="114300" distR="114300">
            <wp:extent cx="5289550" cy="1424940"/>
            <wp:effectExtent l="0" t="0" r="6350" b="3810"/>
            <wp:docPr id="50" name="图片 50" descr="logo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logo贴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="宋体" w:hAnsi="宋体" w:eastAsia="宋体" w:cstheme="minorBidi"/>
          <w:kern w:val="2"/>
          <w:sz w:val="21"/>
          <w:lang w:val="en-US" w:eastAsia="zh-CN"/>
        </w:rPr>
        <w:id w:val="147464892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lang w:val="en-US" w:eastAsia="zh-CN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"1-1"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_Toc30738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一、 使用流程</w:t>
          </w:r>
          <w:r>
            <w:tab/>
          </w:r>
          <w:r>
            <w:fldChar w:fldCharType="begin"/>
          </w:r>
          <w:r>
            <w:instrText xml:space="preserve"> PAGEREF _Toc30738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_Toc10936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二、 使用前准备</w:t>
          </w:r>
          <w:r>
            <w:tab/>
          </w:r>
          <w:r>
            <w:fldChar w:fldCharType="begin"/>
          </w:r>
          <w:r>
            <w:instrText xml:space="preserve"> PAGEREF _Toc10936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_Toc10293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三、 登录系统</w:t>
          </w:r>
          <w:r>
            <w:tab/>
          </w:r>
          <w:r>
            <w:fldChar w:fldCharType="begin"/>
          </w:r>
          <w:r>
            <w:instrText xml:space="preserve"> PAGEREF _Toc10293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_Toc20776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四、 系统准备阶段</w:t>
          </w:r>
          <w:r>
            <w:tab/>
          </w:r>
          <w:r>
            <w:fldChar w:fldCharType="begin"/>
          </w:r>
          <w:r>
            <w:instrText xml:space="preserve"> PAGEREF _Toc20776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_Toc3329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五、 论文管理整体情况</w:t>
          </w:r>
          <w:r>
            <w:tab/>
          </w:r>
          <w:r>
            <w:fldChar w:fldCharType="begin"/>
          </w:r>
          <w:r>
            <w:instrText xml:space="preserve"> PAGEREF _Toc3329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_Toc9360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szCs w:val="24"/>
              <w:lang w:val="en-US" w:eastAsia="zh-CN"/>
            </w:rPr>
            <w:t>六、 论文检测</w:t>
          </w:r>
          <w:r>
            <w:tab/>
          </w:r>
          <w:r>
            <w:fldChar w:fldCharType="begin"/>
          </w:r>
          <w:r>
            <w:instrText xml:space="preserve"> PAGEREF _Toc9360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_Toc28421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2"/>
              <w:lang w:val="en-US" w:eastAsia="zh-CN"/>
            </w:rPr>
            <w:t>七、 自建库管理</w:t>
          </w:r>
          <w:r>
            <w:tab/>
          </w:r>
          <w:r>
            <w:fldChar w:fldCharType="begin"/>
          </w:r>
          <w:r>
            <w:instrText xml:space="preserve"> PAGEREF _Toc28421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_Toc17647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八、 账户中心</w:t>
          </w:r>
          <w:r>
            <w:tab/>
          </w:r>
          <w:r>
            <w:fldChar w:fldCharType="begin"/>
          </w:r>
          <w:r>
            <w:instrText xml:space="preserve"> PAGEREF _Toc17647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outlineLvl w:val="9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outlineLvl w:val="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0" w:name="_Toc30738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使用流程</w:t>
      </w:r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outlineLvl w:val="9"/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第一步：设置系统流程及相关参数；——如果教务处管理员设置了则需要，否则不需要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第二步：导入下级用户基础数据；——如果教务处管理员设置了则需要，否则不需要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第三步：过程监管。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outlineLvl w:val="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1" w:name="_Toc10936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使用前准备</w:t>
      </w:r>
      <w:bookmarkEnd w:id="1"/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5" w:leftChars="0" w:hanging="425" w:firstLineChars="0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请使用IE9以上内核的浏览器登录使用本系统，推荐使用谷歌浏览器；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5" w:leftChars="0" w:hanging="425" w:firstLineChars="0"/>
        <w:textAlignment w:val="auto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G·格子达系统官网：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www.gocheck.cn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，系统为云服务形式，在浏览器地址栏输入地址直接打开即可访问。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2" w:name="_Toc10293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登录系统</w:t>
      </w:r>
      <w:bookmarkEnd w:id="2"/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登录</w:t>
      </w:r>
    </w:p>
    <w:p>
      <w:pPr>
        <w:keepNext w:val="0"/>
        <w:keepLines w:val="0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50" w:leftChars="0" w:hanging="453" w:firstLineChars="0"/>
        <w:textAlignment w:val="auto"/>
        <w:outlineLvl w:val="2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账号密码登录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在打开的浏览器窗口，输入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www.gocheck.cn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，直接打开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G·格子达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系统官网：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66690" cy="2570480"/>
            <wp:effectExtent l="0" t="0" r="10160" b="12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628650" cy="342900"/>
            <wp:effectExtent l="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按钮，直接打开登录界面：</w:t>
      </w:r>
      <w:r>
        <w:rPr>
          <w:rFonts w:hint="eastAsia" w:ascii="微软雅黑" w:hAnsi="微软雅黑" w:eastAsia="微软雅黑" w:cs="微软雅黑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6690" cy="2570480"/>
            <wp:effectExtent l="0" t="0" r="10160" b="127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输入学校分配的账号、密码、图形验证码，点击【登录】或按下【Enter】键，即可登录。</w:t>
      </w:r>
    </w:p>
    <w:p>
      <w:pPr>
        <w:keepNext w:val="0"/>
        <w:keepLines w:val="0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50" w:leftChars="0" w:hanging="453" w:firstLineChars="0"/>
        <w:textAlignment w:val="auto"/>
        <w:outlineLvl w:val="2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微信登录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在登录界面，如选择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885825" cy="314325"/>
            <wp:effectExtent l="0" t="0" r="9525" b="952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，可以打开微信进行扫码登录，前提是已经将账号与本人微信号绑定，绑定方法将在后续进行介绍。绑定后除支持微信登录外，还可以使用移动端相关管理功能。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66690" cy="2570480"/>
            <wp:effectExtent l="0" t="0" r="10160" b="127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注：首次登录需绑定手机号码，修改默认登录密码（为避免账号被盗取，登录密码要求6-20位数字字母组合）。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找回密码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指导教师如忘记登录密码，如您的账号还未绑定手机号码，请联系您的院系管理员为您重置密码；如您的账号已绑定手机号码，可通过登录界面的【忘记密码？】功能找回密码。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570480"/>
            <wp:effectExtent l="0" t="0" r="10160" b="127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3" w:name="_Toc20776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系统准备阶段</w:t>
      </w:r>
      <w:bookmarkEnd w:id="3"/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5" w:leftChars="0" w:hanging="425" w:firstLineChars="0"/>
        <w:textAlignment w:val="auto"/>
        <w:outlineLvl w:val="1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系统参数设置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lang w:val="en-US" w:eastAsia="zh-CN"/>
        </w:rPr>
        <w:t>——如果教务处管理员设置了则需要，否则不需要</w:t>
      </w:r>
    </w:p>
    <w:p>
      <w:pPr>
        <w:keepNext w:val="0"/>
        <w:keepLines w:val="0"/>
        <w:pageBreakBefore w:val="0"/>
        <w:widowControl w:val="0"/>
        <w:numPr>
          <w:ilvl w:val="1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850" w:leftChars="0" w:hanging="453" w:firstLineChars="0"/>
        <w:textAlignment w:val="auto"/>
        <w:outlineLvl w:val="2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查重参数设置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在【用户数据管理】-【系统参数设置】-【查重参数设置】界面，可对系统相关查重参数进行设置（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注：需要教务处管理员下放权限，院系管理员才可以进行设置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），设置完成后将对本院系所有用户的检测规则生效（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原学校设置的检测规则将不再生效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），主要包括：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840" w:leftChars="0" w:hanging="420" w:firstLineChars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</w:rPr>
        <w:t>总相似比范围：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设置学校规定的论文</w:t>
      </w:r>
      <w:r>
        <w:rPr>
          <w:rFonts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</w:rPr>
        <w:t>总相似比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与要求</w:t>
      </w:r>
      <w:r>
        <w:rPr>
          <w:rFonts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</w:rPr>
        <w:t>不符则表示不通过，系统默认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为</w:t>
      </w:r>
      <w:r>
        <w:rPr>
          <w:rFonts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</w:rPr>
        <w:t>30%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含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）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以下；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840" w:leftChars="0" w:hanging="420" w:firstLineChars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</w:rPr>
        <w:t>引用率范围：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设置学校规定的论文引用率范围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与要求</w:t>
      </w:r>
      <w:r>
        <w:rPr>
          <w:rFonts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</w:rPr>
        <w:t>不符则表示不通过，系统默认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为</w:t>
      </w:r>
      <w:r>
        <w:rPr>
          <w:rFonts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</w:rPr>
        <w:t>30%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含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）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以下，</w:t>
      </w:r>
      <w:r>
        <w:rPr>
          <w:rFonts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</w:rPr>
        <w:t>若对引用率无要求，请设置成0-100%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840" w:leftChars="0" w:hanging="420" w:firstLineChars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</w:rPr>
        <w:t>学生提交论文时间：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设置学生</w:t>
      </w:r>
      <w:r>
        <w:rPr>
          <w:rFonts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</w:rPr>
        <w:t>提交论文查重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的时间范围</w:t>
      </w:r>
      <w:r>
        <w:rPr>
          <w:rFonts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</w:rPr>
        <w:t>，超出此范围则无法提交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系统默认不限制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5266690" cy="2529205"/>
            <wp:effectExtent l="0" t="0" r="10160" b="444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1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850" w:leftChars="0" w:hanging="453" w:firstLineChars="0"/>
        <w:textAlignment w:val="auto"/>
        <w:outlineLvl w:val="2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管理流程设定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在【用户数据管理】-【系统参数设置】-【管理流程设定】界面，可对系统相关管理流程进行设置（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注：需要教务处管理员下放权限，院系管理员才可以进行设置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），设置完成后将对本院系所有学生用户生效（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原学校设置的规则将不再生效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），主要包括：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840" w:leftChars="0" w:hanging="420" w:firstLineChars="0"/>
        <w:textAlignment w:val="auto"/>
        <w:rPr>
          <w:rFonts w:hint="default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学生</w:t>
      </w:r>
      <w:r>
        <w:rPr>
          <w:rFonts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</w:rPr>
        <w:t>答辩完成后再次提交终稿论文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的时间</w:t>
      </w:r>
      <w:r>
        <w:rPr>
          <w:rFonts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</w:rPr>
        <w:t>范围：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设置本院系学生</w:t>
      </w:r>
      <w:r>
        <w:rPr>
          <w:rFonts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</w:rPr>
        <w:t>答辩完成后再次提交终稿论文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的时间，默认以学校设置的时间为准。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drawing>
          <wp:inline distT="0" distB="0" distL="114300" distR="114300">
            <wp:extent cx="5266690" cy="2529205"/>
            <wp:effectExtent l="0" t="0" r="10160" b="444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5" w:leftChars="0" w:hanging="425" w:firstLineChars="0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用户数据管理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lang w:val="en-US" w:eastAsia="zh-CN"/>
        </w:rPr>
        <w:t>——如果教务处管理员设置了则需要，否则不需要</w:t>
      </w:r>
    </w:p>
    <w:p>
      <w:pPr>
        <w:keepNext w:val="0"/>
        <w:keepLines w:val="0"/>
        <w:pageBreakBefore w:val="0"/>
        <w:widowControl w:val="0"/>
        <w:numPr>
          <w:ilvl w:val="1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850" w:leftChars="0" w:hanging="453" w:firstLineChars="0"/>
        <w:textAlignment w:val="auto"/>
        <w:outlineLvl w:val="2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导师管理</w:t>
      </w:r>
    </w:p>
    <w:p>
      <w:pPr>
        <w:keepNext w:val="0"/>
        <w:keepLines w:val="0"/>
        <w:pageBreakBefore w:val="0"/>
        <w:widowControl w:val="0"/>
        <w:numPr>
          <w:ilvl w:val="2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1068" w:leftChars="0" w:hanging="648" w:firstLine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添加导师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在【用户数据管理】-【导师管理】界面，点击</w:t>
      </w:r>
      <w:r>
        <w:drawing>
          <wp:inline distT="0" distB="0" distL="114300" distR="114300">
            <wp:extent cx="1219200" cy="361950"/>
            <wp:effectExtent l="0" t="0" r="0" b="0"/>
            <wp:docPr id="1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，进入导师添加页面：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5266690" cy="2529205"/>
            <wp:effectExtent l="0" t="0" r="10160" b="444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【批量导入】模式需先点击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1228725" cy="361950"/>
            <wp:effectExtent l="0" t="0" r="9525" b="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下载数据导入模板，并按要求填充数据：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注：导入时也可同步为开通的账号分配检测次数，需在导入模板中填写相关数据。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1960245"/>
            <wp:effectExtent l="0" t="0" r="7620" b="1905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40" w:firstLineChars="200"/>
        <w:textAlignment w:val="auto"/>
        <w:rPr>
          <w:sz w:val="20"/>
          <w:szCs w:val="18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填充数据完成，点击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drawing>
          <wp:inline distT="0" distB="0" distL="114300" distR="114300">
            <wp:extent cx="1228725" cy="352425"/>
            <wp:effectExtent l="0" t="0" r="9525" b="952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按钮选择需导入的Excel文件，再点击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drawing>
          <wp:inline distT="0" distB="0" distL="114300" distR="114300">
            <wp:extent cx="1371600" cy="381000"/>
            <wp:effectExtent l="0" t="0" r="0" b="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，即可完成导入，导入成功可查看导入结果，对于导入未成功的异常数据，系统提供异常数据Excel下载。</w:t>
      </w:r>
    </w:p>
    <w:p>
      <w:pPr>
        <w:keepNext w:val="0"/>
        <w:keepLines w:val="0"/>
        <w:pageBreakBefore w:val="0"/>
        <w:widowControl w:val="0"/>
        <w:numPr>
          <w:ilvl w:val="2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1068" w:leftChars="0" w:hanging="648" w:firstLineChars="0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编辑账号信息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在【用户数据管理】-【导师管理】界面，点击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647700" cy="295275"/>
            <wp:effectExtent l="0" t="0" r="0" b="952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，即可对导师账号的基本信息进行编辑，包括导师姓名、职称与手机号码，编辑完成，点击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1247775" cy="371475"/>
            <wp:effectExtent l="0" t="0" r="9525" b="952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即可完成保存。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529205"/>
            <wp:effectExtent l="0" t="0" r="10160" b="444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2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1068" w:leftChars="0" w:hanging="648" w:firstLine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分配/批量分配检测次数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在【用户数据管理】-【导师管理】界面，点击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400050" cy="276225"/>
            <wp:effectExtent l="0" t="0" r="0" b="9525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或</w:t>
      </w:r>
      <w:r>
        <w:drawing>
          <wp:inline distT="0" distB="0" distL="114300" distR="114300">
            <wp:extent cx="1838325" cy="400050"/>
            <wp:effectExtent l="0" t="0" r="9525" b="0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（批量分配需先选中需要批量分配的账号），即可对导师账号的进行单个或批量分配检测次数，输入需要分配的检测次数，点击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1228725" cy="361950"/>
            <wp:effectExtent l="0" t="0" r="9525" b="0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即可完成分配。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865" cy="2534285"/>
            <wp:effectExtent l="0" t="0" r="6985" b="18415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lef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2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1068" w:leftChars="0" w:hanging="648" w:firstLine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撤回/批量撤回检测次数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对于已分配次数的账号，在【用户数据管理】-【导师管理】界面，点击</w:t>
      </w:r>
      <w:r>
        <w:drawing>
          <wp:inline distT="0" distB="0" distL="114300" distR="114300">
            <wp:extent cx="409575" cy="285750"/>
            <wp:effectExtent l="0" t="0" r="9525" b="0"/>
            <wp:docPr id="5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或</w:t>
      </w:r>
      <w:r>
        <w:drawing>
          <wp:inline distT="0" distB="0" distL="114300" distR="114300">
            <wp:extent cx="1895475" cy="400050"/>
            <wp:effectExtent l="0" t="0" r="9525" b="0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（批量撤回需先选中需要批量撤回的账号），即可对导师账号的进行单个或批量撤回检测次数。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注：撤回检测次数，仅撤回当前账号为下级分配的检测次数，其他层级分配的检测次数不会撤回。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529205"/>
            <wp:effectExtent l="0" t="0" r="10160" b="444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2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1068" w:leftChars="0" w:hanging="648" w:firstLine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重置密码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在【用户数据管理】-【导师管理】界面，点击</w:t>
      </w:r>
      <w:r>
        <w:drawing>
          <wp:inline distT="0" distB="0" distL="114300" distR="114300">
            <wp:extent cx="676275" cy="276225"/>
            <wp:effectExtent l="0" t="0" r="9525" b="9525"/>
            <wp:docPr id="3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，即可对导师账号的进行单个重置密码，重置后的默认密码为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gocheck123456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529205"/>
            <wp:effectExtent l="0" t="0" r="10160" b="444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2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1068" w:leftChars="0" w:hanging="648" w:firstLineChars="0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批量删除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在【用户数据管理】-【导师管理】界面，点击</w:t>
      </w:r>
      <w:r>
        <w:drawing>
          <wp:inline distT="0" distB="0" distL="114300" distR="114300">
            <wp:extent cx="1895475" cy="438150"/>
            <wp:effectExtent l="0" t="0" r="9525" b="0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可删除所有已选中的导师账号信息。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注：删除账号，将删除该账号在系统内的所有关联信息，且无法找回，请慎用此功能。</w:t>
      </w:r>
    </w:p>
    <w:p>
      <w:pPr>
        <w:keepNext w:val="0"/>
        <w:keepLines w:val="0"/>
        <w:pageBreakBefore w:val="0"/>
        <w:widowControl w:val="0"/>
        <w:numPr>
          <w:ilvl w:val="1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850" w:leftChars="0" w:hanging="453" w:firstLineChars="0"/>
        <w:textAlignment w:val="auto"/>
        <w:outlineLvl w:val="2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专业管理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397" w:leftChars="0"/>
        <w:textAlignment w:val="auto"/>
        <w:outlineLvl w:val="2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同导师管理功能。</w:t>
      </w:r>
    </w:p>
    <w:p>
      <w:pPr>
        <w:keepNext w:val="0"/>
        <w:keepLines w:val="0"/>
        <w:pageBreakBefore w:val="0"/>
        <w:widowControl w:val="0"/>
        <w:numPr>
          <w:ilvl w:val="1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850" w:leftChars="0" w:hanging="453" w:firstLineChars="0"/>
        <w:textAlignment w:val="auto"/>
        <w:outlineLvl w:val="2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学生管理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397" w:lef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同导师管理功能。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outlineLvl w:val="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4" w:name="_Toc3329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论文管理整体情况</w:t>
      </w:r>
      <w:bookmarkEnd w:id="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点击左侧【论文管理整体情况】菜单，支持院系管理员对论文管理整体进度情况进行把控：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</w:pPr>
      <w:r>
        <w:drawing>
          <wp:inline distT="0" distB="0" distL="114300" distR="114300">
            <wp:extent cx="5266690" cy="2529205"/>
            <wp:effectExtent l="0" t="0" r="10160" b="444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40" w:firstLineChars="200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左侧毕业论文管理工作整体进度图表，展示提交论文、查重通过等管理环节，本院系的完成进度情况。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4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点击某个节点的名称，可查看该节点的数据。点击</w:t>
      </w:r>
      <w:r>
        <w:rPr>
          <w:sz w:val="20"/>
          <w:szCs w:val="18"/>
        </w:rPr>
        <w:drawing>
          <wp:inline distT="0" distB="0" distL="114300" distR="114300">
            <wp:extent cx="1600200" cy="333375"/>
            <wp:effectExtent l="0" t="0" r="0" b="9525"/>
            <wp:docPr id="5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，可查看每个学生历次检测的详情数据；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【通知公告】栏目展示教务处管理员添加的通知公告：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center"/>
        <w:textAlignment w:val="auto"/>
      </w:pPr>
      <w:r>
        <w:drawing>
          <wp:inline distT="0" distB="0" distL="114300" distR="114300">
            <wp:extent cx="4124325" cy="3333750"/>
            <wp:effectExtent l="0" t="0" r="9525" b="0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【文档模板下载中心】栏目展示教务处管理员添加的论文文档模板：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center"/>
        <w:textAlignment w:val="auto"/>
      </w:pPr>
      <w:r>
        <w:drawing>
          <wp:inline distT="0" distB="0" distL="114300" distR="114300">
            <wp:extent cx="4019550" cy="3238500"/>
            <wp:effectExtent l="0" t="0" r="0" b="0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如需查看往年历史数据，请先在</w:t>
      </w:r>
      <w:r>
        <w:rPr>
          <w:sz w:val="20"/>
          <w:szCs w:val="18"/>
        </w:rPr>
        <w:drawing>
          <wp:inline distT="0" distB="0" distL="114300" distR="114300">
            <wp:extent cx="1590675" cy="400050"/>
            <wp:effectExtent l="0" t="0" r="9525" b="0"/>
            <wp:docPr id="4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下拉切换学年数据：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29205"/>
            <wp:effectExtent l="0" t="0" r="10160" b="4445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outlineLvl w:val="0"/>
        <w:rPr>
          <w:rFonts w:hint="default" w:ascii="微软雅黑" w:hAnsi="微软雅黑" w:eastAsia="微软雅黑" w:cs="微软雅黑"/>
          <w:b/>
          <w:bCs/>
          <w:i w:val="0"/>
          <w:iCs w:val="0"/>
          <w:sz w:val="24"/>
          <w:szCs w:val="24"/>
          <w:lang w:val="en-US" w:eastAsia="zh-CN"/>
        </w:rPr>
      </w:pPr>
      <w:bookmarkStart w:id="5" w:name="_Toc9360"/>
      <w:r>
        <w:rPr>
          <w:rFonts w:hint="eastAsia" w:ascii="微软雅黑" w:hAnsi="微软雅黑" w:eastAsia="微软雅黑" w:cs="微软雅黑"/>
          <w:b/>
          <w:bCs/>
          <w:i w:val="0"/>
          <w:iCs w:val="0"/>
          <w:sz w:val="24"/>
          <w:szCs w:val="24"/>
          <w:lang w:val="en-US" w:eastAsia="zh-CN"/>
        </w:rPr>
        <w:t>论文检测</w:t>
      </w:r>
      <w:bookmarkEnd w:id="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40" w:firstLineChars="200"/>
        <w:textAlignment w:val="auto"/>
        <w:outlineLvl w:val="9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点击左侧【论文检测】菜单，可提交论文查重检测及查看检测报告。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40" w:firstLineChars="200"/>
        <w:textAlignment w:val="auto"/>
        <w:outlineLvl w:val="9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2"/>
          <w:szCs w:val="22"/>
          <w:lang w:val="en-US" w:eastAsia="zh-CN"/>
        </w:rPr>
        <w:t>注：如有大批量论文需要做全检，可以联系我们的客户经理获取支持。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5" w:leftChars="0" w:hanging="425" w:firstLineChars="0"/>
        <w:textAlignment w:val="auto"/>
        <w:outlineLvl w:val="9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提交检测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40" w:firstLineChars="200"/>
        <w:textAlignment w:val="auto"/>
        <w:outlineLvl w:val="9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支持院系管理员上传单个文档，或以rar/zip压缩包形式提交多个文档进行检测：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40" w:firstLineChars="200"/>
        <w:textAlignment w:val="auto"/>
        <w:outlineLvl w:val="9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检测有两个入口，一个是【新论文检测】，一个是【往届论文检测】。如果您提交检测的是以前的往届论文，请选择【往届论文检测】入口，该入口可以选择参检资源库的时间范围。</w:t>
      </w:r>
    </w:p>
    <w:p>
      <w:pPr>
        <w:keepNext w:val="0"/>
        <w:keepLines w:val="0"/>
        <w:pageBreakBefore w:val="0"/>
        <w:widowControl w:val="0"/>
        <w:numPr>
          <w:ilvl w:val="1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850" w:leftChars="0" w:hanging="453" w:firstLineChars="0"/>
        <w:textAlignment w:val="auto"/>
        <w:outlineLvl w:val="9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上传文档，选择分组</w:t>
      </w:r>
    </w:p>
    <w:p>
      <w:pPr>
        <w:rPr>
          <w:rFonts w:hint="default"/>
          <w:sz w:val="20"/>
          <w:szCs w:val="18"/>
          <w:lang w:val="en-US" w:eastAsia="zh-CN"/>
        </w:rPr>
      </w:pPr>
      <w:r>
        <w:drawing>
          <wp:inline distT="0" distB="0" distL="114300" distR="114300">
            <wp:extent cx="5266690" cy="2529205"/>
            <wp:effectExtent l="0" t="0" r="10160" b="4445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1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850" w:leftChars="0" w:hanging="453" w:firstLineChars="0"/>
        <w:textAlignment w:val="auto"/>
        <w:outlineLvl w:val="9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选择资源库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outlineLvl w:val="9"/>
        <w:rPr>
          <w:sz w:val="20"/>
          <w:szCs w:val="18"/>
        </w:rPr>
      </w:pPr>
      <w:r>
        <w:drawing>
          <wp:inline distT="0" distB="0" distL="114300" distR="114300">
            <wp:extent cx="5266690" cy="2529205"/>
            <wp:effectExtent l="0" t="0" r="10160" b="4445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40" w:firstLineChars="200"/>
        <w:textAlignment w:val="auto"/>
        <w:outlineLvl w:val="9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机构自建资源库：指教务处管理员在自建库中上传的资源，必须参与检测；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40" w:firstLineChars="200"/>
        <w:textAlignment w:val="auto"/>
        <w:outlineLvl w:val="9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院系自建资源库：指院系管理员在自建库中上传的资源，勾选则参与检测，不勾选则不参与检测。</w:t>
      </w:r>
    </w:p>
    <w:p>
      <w:pPr>
        <w:keepNext w:val="0"/>
        <w:keepLines w:val="0"/>
        <w:pageBreakBefore w:val="0"/>
        <w:widowControl w:val="0"/>
        <w:numPr>
          <w:ilvl w:val="1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850" w:leftChars="0" w:hanging="453" w:firstLineChars="0"/>
        <w:textAlignment w:val="auto"/>
        <w:outlineLvl w:val="9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提交检测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40" w:firstLineChars="200"/>
        <w:textAlignment w:val="auto"/>
        <w:outlineLvl w:val="9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提交检测后，系统需要上传待检测文档，需要等待些许时间，用户也可以关闭页面，稍后再去查看检测报告页面查看检测结果。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5" w:leftChars="0" w:hanging="425" w:firstLineChars="0"/>
        <w:textAlignment w:val="auto"/>
        <w:outlineLvl w:val="9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论文上传记录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40" w:firstLineChars="200"/>
        <w:textAlignment w:val="auto"/>
        <w:outlineLvl w:val="9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支持查看所有提交检测的论文上传记录，对于解析异常，未提交成功的文档，可以下载异常文档数据Excel。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outlineLvl w:val="9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drawing>
          <wp:inline distT="0" distB="0" distL="114300" distR="114300">
            <wp:extent cx="5266690" cy="2529205"/>
            <wp:effectExtent l="0" t="0" r="10160" b="4445"/>
            <wp:docPr id="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5" w:leftChars="0" w:hanging="425" w:firstLineChars="0"/>
        <w:textAlignment w:val="auto"/>
        <w:outlineLvl w:val="9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查看检测报告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40" w:firstLineChars="200"/>
        <w:textAlignment w:val="auto"/>
        <w:outlineLvl w:val="9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支持院系管理员查看所有已检测记录的检测报告：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outlineLvl w:val="9"/>
        <w:rPr>
          <w:sz w:val="20"/>
          <w:szCs w:val="18"/>
        </w:rPr>
      </w:pPr>
      <w:r>
        <w:drawing>
          <wp:inline distT="0" distB="0" distL="114300" distR="114300">
            <wp:extent cx="5266690" cy="2529205"/>
            <wp:effectExtent l="0" t="0" r="10160" b="4445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40" w:firstLineChars="200"/>
        <w:textAlignment w:val="auto"/>
        <w:outlineLvl w:val="9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点击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drawing>
          <wp:inline distT="0" distB="0" distL="114300" distR="114300">
            <wp:extent cx="676275" cy="381000"/>
            <wp:effectExtent l="0" t="0" r="9525" b="0"/>
            <wp:docPr id="13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2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可进入该条检测任务的报告查看页面，再次点击某条记录后的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drawing>
          <wp:inline distT="0" distB="0" distL="114300" distR="114300">
            <wp:extent cx="676275" cy="381000"/>
            <wp:effectExtent l="0" t="0" r="9525" b="0"/>
            <wp:docPr id="1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2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，可以打开该条记录的检测报告：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outlineLvl w:val="9"/>
        <w:rPr>
          <w:sz w:val="20"/>
          <w:szCs w:val="18"/>
        </w:rPr>
      </w:pPr>
      <w:r>
        <w:drawing>
          <wp:inline distT="0" distB="0" distL="114300" distR="114300">
            <wp:extent cx="5266690" cy="2529205"/>
            <wp:effectExtent l="0" t="0" r="10160" b="4445"/>
            <wp:docPr id="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40" w:firstLineChars="200"/>
        <w:textAlignment w:val="auto"/>
        <w:outlineLvl w:val="9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报告主要分为简版报告、标红报告、图片检测报告（如果已设置）、格式检测报告（如果已设置）四种：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840" w:leftChars="0" w:hanging="420" w:firstLineChars="0"/>
        <w:textAlignment w:val="auto"/>
        <w:rPr>
          <w:rFonts w:hint="default" w:ascii="微软雅黑" w:hAnsi="微软雅黑" w:eastAsia="微软雅黑" w:cs="微软雅黑"/>
          <w:i w:val="0"/>
          <w:caps w:val="0"/>
          <w:color w:val="auto"/>
          <w:spacing w:val="0"/>
          <w:sz w:val="22"/>
          <w:szCs w:val="22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2"/>
          <w:szCs w:val="22"/>
          <w:shd w:val="clear" w:fill="FFFFFF"/>
          <w:lang w:val="en-US" w:eastAsia="zh-CN"/>
        </w:rPr>
        <w:t>简版报告：对检测整体基本情况进行描述的报告，主要包括整体结论、检测结果示意图、检测环境指标、相似来源汇总四个部分：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outlineLvl w:val="9"/>
        <w:rPr>
          <w:sz w:val="20"/>
          <w:szCs w:val="18"/>
        </w:rPr>
      </w:pPr>
      <w:r>
        <w:drawing>
          <wp:inline distT="0" distB="0" distL="114300" distR="114300">
            <wp:extent cx="5266690" cy="2570480"/>
            <wp:effectExtent l="0" t="0" r="10160" b="1270"/>
            <wp:docPr id="7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840" w:leftChars="0" w:hanging="420" w:firstLineChars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2"/>
          <w:szCs w:val="22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2"/>
          <w:szCs w:val="22"/>
          <w:shd w:val="clear" w:fill="FFFFFF"/>
          <w:lang w:val="en-US" w:eastAsia="zh-CN"/>
        </w:rPr>
        <w:t>标红报告：将文档中相似的标红部分全部展示，点击标红的句子，可以查看句子的相似详情：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outlineLvl w:val="9"/>
        <w:rPr>
          <w:sz w:val="20"/>
          <w:szCs w:val="18"/>
        </w:rPr>
      </w:pPr>
      <w:r>
        <w:drawing>
          <wp:inline distT="0" distB="0" distL="114300" distR="114300">
            <wp:extent cx="5266690" cy="2570480"/>
            <wp:effectExtent l="0" t="0" r="10160" b="1270"/>
            <wp:docPr id="7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40" w:firstLineChars="200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color w:val="F7860C"/>
          <w:sz w:val="22"/>
          <w:szCs w:val="22"/>
          <w:lang w:val="en-US" w:eastAsia="zh-CN"/>
        </w:rPr>
        <w:t>橙色字体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标注：表示相似度在50%-70%的内容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40" w:firstLineChars="200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2"/>
          <w:szCs w:val="22"/>
          <w:lang w:val="en-US" w:eastAsia="zh-CN"/>
        </w:rPr>
        <w:t>红色字体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标注：表示相似度在70%以上的内容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40" w:firstLineChars="200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color w:val="2E75B6" w:themeColor="accent1" w:themeShade="BF"/>
          <w:sz w:val="22"/>
          <w:szCs w:val="22"/>
          <w:lang w:val="en-US" w:eastAsia="zh-CN"/>
        </w:rPr>
        <w:t>蓝色字体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标注：表示引用的内容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40" w:firstLineChars="200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2"/>
          <w:szCs w:val="22"/>
          <w:lang w:val="en-US" w:eastAsia="zh-CN"/>
        </w:rPr>
        <w:t>深蓝色字体</w:t>
      </w:r>
      <w:r>
        <w:rPr>
          <w:rFonts w:hint="eastAsia" w:ascii="微软雅黑" w:hAnsi="微软雅黑" w:eastAsia="微软雅黑" w:cs="微软雅黑"/>
          <w:color w:val="auto"/>
          <w:sz w:val="22"/>
          <w:szCs w:val="22"/>
          <w:lang w:val="en-US" w:eastAsia="zh-CN"/>
        </w:rPr>
        <w:t>标注</w:t>
      </w:r>
      <w:r>
        <w:rPr>
          <w:rFonts w:hint="eastAsia" w:ascii="微软雅黑" w:hAnsi="微软雅黑" w:eastAsia="微软雅黑" w:cs="微软雅黑"/>
          <w:color w:val="0000FF"/>
          <w:sz w:val="22"/>
          <w:szCs w:val="22"/>
          <w:lang w:val="en-US" w:eastAsia="zh-CN"/>
        </w:rPr>
        <w:t>：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可能遗漏但被识别到与参考文献列表对应的引用片段 / 法律、法规、标准等引用片段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40" w:firstLineChars="200"/>
        <w:textAlignment w:val="auto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黑色字体标注：表示自写的内容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840" w:leftChars="0" w:hanging="420" w:firstLineChars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2"/>
          <w:szCs w:val="22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2"/>
          <w:szCs w:val="22"/>
          <w:shd w:val="clear" w:fill="FFFFFF"/>
          <w:lang w:val="en-US" w:eastAsia="zh-CN"/>
        </w:rPr>
        <w:t>图片检测报告：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40" w:firstLineChars="200"/>
        <w:textAlignment w:val="auto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如在【系统参数设置】-【查重参数设置】中，勾选了【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2"/>
          <w:szCs w:val="22"/>
          <w:shd w:val="clear" w:fill="FFFFFF"/>
          <w:lang w:val="en-US" w:eastAsia="zh-CN"/>
        </w:rPr>
        <w:t>图片检测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】，则检测完成后会输出图片检测报告，图片检测报告将会检测相似的图片，以及疑似文字的图片（此种将会把文字识别出来，当做正文参与检测）两种：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2"/>
          <w:szCs w:val="22"/>
          <w:shd w:val="clear" w:fill="FFFFFF"/>
          <w:lang w:val="en-US" w:eastAsia="zh-CN"/>
        </w:rPr>
      </w:pPr>
      <w:r>
        <w:drawing>
          <wp:inline distT="0" distB="0" distL="114300" distR="114300">
            <wp:extent cx="5266690" cy="2529205"/>
            <wp:effectExtent l="0" t="0" r="1016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840" w:leftChars="0" w:hanging="420" w:firstLineChars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2"/>
          <w:szCs w:val="22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2"/>
          <w:szCs w:val="22"/>
          <w:shd w:val="clear" w:fill="FFFFFF"/>
          <w:lang w:val="en-US" w:eastAsia="zh-CN"/>
        </w:rPr>
        <w:t>格式检测报告：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40" w:firstLineChars="200"/>
        <w:textAlignment w:val="auto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如在【系统参数设置】-【格式检测模板设置】中，如设置了生效的格式模板，则检测完成后会输出格式检测报告：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5266690" cy="2529205"/>
            <wp:effectExtent l="0" t="0" r="1016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5" w:leftChars="0" w:hanging="425" w:firstLineChars="0"/>
        <w:textAlignment w:val="auto"/>
        <w:outlineLvl w:val="9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检测问题库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40" w:firstLineChars="200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所有已完成检测的记录中，未达到学校要求的记录，将会汇总至检测问题库，方便院系管理员核查。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drawing>
          <wp:inline distT="0" distB="0" distL="114300" distR="114300">
            <wp:extent cx="5266690" cy="2529205"/>
            <wp:effectExtent l="0" t="0" r="10160" b="4445"/>
            <wp:docPr id="3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outlineLvl w:val="0"/>
        <w:rPr>
          <w:rFonts w:hint="default" w:ascii="微软雅黑" w:hAnsi="微软雅黑" w:eastAsia="微软雅黑" w:cs="微软雅黑"/>
          <w:b/>
          <w:bCs/>
          <w:sz w:val="22"/>
          <w:szCs w:val="22"/>
          <w:lang w:val="en-US" w:eastAsia="zh-CN"/>
        </w:rPr>
      </w:pPr>
      <w:bookmarkStart w:id="6" w:name="_Toc481_WPSOffice_Level1"/>
      <w:bookmarkStart w:id="7" w:name="_Toc28421"/>
      <w:r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  <w:t>自建库管理</w:t>
      </w:r>
      <w:bookmarkEnd w:id="6"/>
      <w:bookmarkEnd w:id="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40" w:firstLineChars="200"/>
        <w:textAlignment w:val="auto"/>
        <w:outlineLvl w:val="9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支持院系管理员自建资源库，自建的资源库在检测时可选择是否参与检测：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outlineLvl w:val="9"/>
        <w:rPr>
          <w:sz w:val="20"/>
          <w:szCs w:val="18"/>
        </w:rPr>
      </w:pPr>
      <w:r>
        <w:drawing>
          <wp:inline distT="0" distB="0" distL="114300" distR="114300">
            <wp:extent cx="5266690" cy="2529205"/>
            <wp:effectExtent l="0" t="0" r="10160" b="4445"/>
            <wp:docPr id="4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40" w:firstLineChars="200"/>
        <w:textAlignment w:val="auto"/>
        <w:outlineLvl w:val="9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点击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drawing>
          <wp:inline distT="0" distB="0" distL="114300" distR="114300">
            <wp:extent cx="1400175" cy="419100"/>
            <wp:effectExtent l="0" t="0" r="9525" b="0"/>
            <wp:docPr id="9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可新增资源分类，点击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drawing>
          <wp:inline distT="0" distB="0" distL="114300" distR="114300">
            <wp:extent cx="790575" cy="352425"/>
            <wp:effectExtent l="0" t="0" r="9525" b="9525"/>
            <wp:docPr id="9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可以对某个分类下的资源进行管理：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outlineLvl w:val="9"/>
        <w:rPr>
          <w:sz w:val="20"/>
          <w:szCs w:val="18"/>
        </w:rPr>
      </w:pPr>
      <w:r>
        <w:drawing>
          <wp:inline distT="0" distB="0" distL="114300" distR="114300">
            <wp:extent cx="5266690" cy="2529205"/>
            <wp:effectExtent l="0" t="0" r="10160" b="4445"/>
            <wp:docPr id="4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outlineLvl w:val="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8" w:name="_Toc17647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账户中心</w:t>
      </w:r>
      <w:bookmarkEnd w:id="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点击左侧【账户中心】菜单，可查看与本账户相关的基本信息。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outlineLvl w:val="9"/>
      </w:pPr>
      <w:r>
        <w:drawing>
          <wp:inline distT="0" distB="0" distL="114300" distR="114300">
            <wp:extent cx="5266690" cy="2529205"/>
            <wp:effectExtent l="0" t="0" r="10160" b="4445"/>
            <wp:docPr id="4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5" w:leftChars="0" w:hanging="425" w:firstLineChars="0"/>
        <w:textAlignment w:val="auto"/>
        <w:outlineLvl w:val="1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账户信息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textAlignment w:val="auto"/>
        <w:outlineLvl w:val="9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支持修改账户的姓名与手机号码，姓名可用于检测报告中的姓名取值，手机号码可用于在线找回密码；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outlineLvl w:val="9"/>
      </w:pPr>
      <w:r>
        <w:drawing>
          <wp:inline distT="0" distB="0" distL="114300" distR="114300">
            <wp:extent cx="5270500" cy="1485265"/>
            <wp:effectExtent l="0" t="0" r="6350" b="635"/>
            <wp:docPr id="4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textAlignment w:val="auto"/>
        <w:outlineLvl w:val="9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支持查看检测次数统计数据，点击某个数据可以查看详细记录：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上级分配次数-分配下级次数-消费次数-过期次数=剩余次数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outlineLvl w:val="9"/>
      </w:pPr>
      <w:r>
        <w:drawing>
          <wp:inline distT="0" distB="0" distL="114300" distR="114300">
            <wp:extent cx="5272405" cy="975360"/>
            <wp:effectExtent l="0" t="0" r="4445" b="15240"/>
            <wp:docPr id="19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3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textAlignment w:val="auto"/>
        <w:outlineLvl w:val="9"/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微信扫一扫，可以微信绑定该账号，下次可以使用微信扫码直接进行登录，另外使用移动端功能需要在此处先绑定微信：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center"/>
        <w:textAlignment w:val="auto"/>
        <w:outlineLvl w:val="9"/>
      </w:pPr>
      <w:r>
        <w:drawing>
          <wp:inline distT="0" distB="0" distL="114300" distR="114300">
            <wp:extent cx="3800475" cy="3733800"/>
            <wp:effectExtent l="0" t="0" r="9525" b="0"/>
            <wp:docPr id="1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已绑定的微信支持解绑，点击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2905125" cy="438150"/>
            <wp:effectExtent l="0" t="0" r="9525" b="0"/>
            <wp:docPr id="1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center"/>
        <w:textAlignment w:val="auto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3752850" cy="3609975"/>
            <wp:effectExtent l="0" t="0" r="0" b="9525"/>
            <wp:docPr id="1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5" w:leftChars="0" w:hanging="425" w:firstLineChars="0"/>
        <w:textAlignment w:val="auto"/>
        <w:outlineLvl w:val="1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修改密码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输入原密码，两次新密码，即可完成登录密码的修改。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outlineLvl w:val="9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529205"/>
            <wp:effectExtent l="0" t="0" r="10160" b="4445"/>
            <wp:docPr id="4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JvSDC8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t>2</w:t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t>2</w:t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rFonts w:hint="default" w:ascii="微软雅黑" w:hAnsi="微软雅黑" w:eastAsia="微软雅黑" w:cs="微软雅黑"/>
        <w:sz w:val="18"/>
        <w:szCs w:val="18"/>
        <w:lang w:val="en-US" w:eastAsia="zh-CN"/>
      </w:rPr>
    </w:pPr>
    <w:r>
      <w:rPr>
        <w:rFonts w:hint="eastAsia" w:ascii="微软雅黑" w:hAnsi="微软雅黑" w:eastAsia="微软雅黑" w:cs="微软雅黑"/>
        <w:sz w:val="18"/>
        <w:szCs w:val="18"/>
        <w:lang w:val="en-US" w:eastAsia="zh-CN"/>
      </w:rPr>
      <w:t>G·格子达系统操作手册[院系管理员版]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8A88759"/>
    <w:multiLevelType w:val="multilevel"/>
    <w:tmpl w:val="98A8875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1">
    <w:nsid w:val="A8C97622"/>
    <w:multiLevelType w:val="multilevel"/>
    <w:tmpl w:val="A8C9762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2">
    <w:nsid w:val="AC9C0D21"/>
    <w:multiLevelType w:val="singleLevel"/>
    <w:tmpl w:val="AC9C0D2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ADF41D70"/>
    <w:multiLevelType w:val="multilevel"/>
    <w:tmpl w:val="ADF41D7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4">
    <w:nsid w:val="BB86A6D0"/>
    <w:multiLevelType w:val="multilevel"/>
    <w:tmpl w:val="BB86A6D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5">
    <w:nsid w:val="15EB6CF6"/>
    <w:multiLevelType w:val="singleLevel"/>
    <w:tmpl w:val="15EB6CF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37BC14AF"/>
    <w:multiLevelType w:val="singleLevel"/>
    <w:tmpl w:val="37BC14AF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AD3687"/>
    <w:rsid w:val="00E72D45"/>
    <w:rsid w:val="034114BB"/>
    <w:rsid w:val="03636F08"/>
    <w:rsid w:val="03ED22E7"/>
    <w:rsid w:val="03F36803"/>
    <w:rsid w:val="042D42AC"/>
    <w:rsid w:val="049C3ED1"/>
    <w:rsid w:val="04DB0EA3"/>
    <w:rsid w:val="04FC3A7E"/>
    <w:rsid w:val="05192B5E"/>
    <w:rsid w:val="056F689F"/>
    <w:rsid w:val="05CB3798"/>
    <w:rsid w:val="0608476D"/>
    <w:rsid w:val="06120A06"/>
    <w:rsid w:val="064F6DEA"/>
    <w:rsid w:val="067750C9"/>
    <w:rsid w:val="06D26D61"/>
    <w:rsid w:val="070E1846"/>
    <w:rsid w:val="075C2BB6"/>
    <w:rsid w:val="075C42A6"/>
    <w:rsid w:val="08F0313B"/>
    <w:rsid w:val="090E7F47"/>
    <w:rsid w:val="098C76E2"/>
    <w:rsid w:val="09B65537"/>
    <w:rsid w:val="0A043DC1"/>
    <w:rsid w:val="0AA6408B"/>
    <w:rsid w:val="0B195F7C"/>
    <w:rsid w:val="0B262377"/>
    <w:rsid w:val="0C3477B0"/>
    <w:rsid w:val="0D2B3754"/>
    <w:rsid w:val="0EE32B23"/>
    <w:rsid w:val="0F564C00"/>
    <w:rsid w:val="0FDE6F44"/>
    <w:rsid w:val="0FDF3E9A"/>
    <w:rsid w:val="105A04BA"/>
    <w:rsid w:val="111313B5"/>
    <w:rsid w:val="12E4011F"/>
    <w:rsid w:val="130A5350"/>
    <w:rsid w:val="13775016"/>
    <w:rsid w:val="13B1623F"/>
    <w:rsid w:val="141B200A"/>
    <w:rsid w:val="15363145"/>
    <w:rsid w:val="15592C5B"/>
    <w:rsid w:val="16BC7C8E"/>
    <w:rsid w:val="175F6B3D"/>
    <w:rsid w:val="186920DF"/>
    <w:rsid w:val="191D7751"/>
    <w:rsid w:val="195B4005"/>
    <w:rsid w:val="196E77E7"/>
    <w:rsid w:val="19D316C1"/>
    <w:rsid w:val="1A161D75"/>
    <w:rsid w:val="1ACB7DA5"/>
    <w:rsid w:val="1B0A6525"/>
    <w:rsid w:val="1B547C0D"/>
    <w:rsid w:val="1BEF3D9B"/>
    <w:rsid w:val="1C5D523E"/>
    <w:rsid w:val="1D362AF0"/>
    <w:rsid w:val="1D6F1AF3"/>
    <w:rsid w:val="1EBD05A8"/>
    <w:rsid w:val="1EC0127F"/>
    <w:rsid w:val="1EC80613"/>
    <w:rsid w:val="1ED52655"/>
    <w:rsid w:val="1F1C5592"/>
    <w:rsid w:val="2083660A"/>
    <w:rsid w:val="21277892"/>
    <w:rsid w:val="214D4B69"/>
    <w:rsid w:val="21B15FB5"/>
    <w:rsid w:val="22714FDE"/>
    <w:rsid w:val="22AD65A5"/>
    <w:rsid w:val="22B426A2"/>
    <w:rsid w:val="22D36440"/>
    <w:rsid w:val="23B07270"/>
    <w:rsid w:val="244D3698"/>
    <w:rsid w:val="25082CD9"/>
    <w:rsid w:val="25AC2E82"/>
    <w:rsid w:val="261D5D29"/>
    <w:rsid w:val="26A97D2B"/>
    <w:rsid w:val="26B6147B"/>
    <w:rsid w:val="27BC0DDC"/>
    <w:rsid w:val="27FC77B1"/>
    <w:rsid w:val="2866004B"/>
    <w:rsid w:val="28B5476C"/>
    <w:rsid w:val="28FE0E6E"/>
    <w:rsid w:val="2908308F"/>
    <w:rsid w:val="292C50C3"/>
    <w:rsid w:val="298C2A15"/>
    <w:rsid w:val="2AAD6127"/>
    <w:rsid w:val="2B61788B"/>
    <w:rsid w:val="2BD42702"/>
    <w:rsid w:val="2C5E7375"/>
    <w:rsid w:val="2D1723BD"/>
    <w:rsid w:val="2D4763CA"/>
    <w:rsid w:val="2E0B33B8"/>
    <w:rsid w:val="2ED73802"/>
    <w:rsid w:val="2F0437D5"/>
    <w:rsid w:val="30587D7A"/>
    <w:rsid w:val="308552BF"/>
    <w:rsid w:val="30B43559"/>
    <w:rsid w:val="31CE3BB7"/>
    <w:rsid w:val="328319FD"/>
    <w:rsid w:val="32C467AB"/>
    <w:rsid w:val="32E74E73"/>
    <w:rsid w:val="330C0624"/>
    <w:rsid w:val="34E323AC"/>
    <w:rsid w:val="353D4365"/>
    <w:rsid w:val="360D6740"/>
    <w:rsid w:val="370F6F07"/>
    <w:rsid w:val="3885440D"/>
    <w:rsid w:val="3A4333F4"/>
    <w:rsid w:val="3A9A2EAE"/>
    <w:rsid w:val="3AAD2713"/>
    <w:rsid w:val="3AE53FFD"/>
    <w:rsid w:val="3B263E1A"/>
    <w:rsid w:val="3B68539A"/>
    <w:rsid w:val="3C5B5DAA"/>
    <w:rsid w:val="3CDF3F1F"/>
    <w:rsid w:val="3E766841"/>
    <w:rsid w:val="3EE23750"/>
    <w:rsid w:val="3FC118AC"/>
    <w:rsid w:val="403257C1"/>
    <w:rsid w:val="40B54658"/>
    <w:rsid w:val="412709C0"/>
    <w:rsid w:val="419D2022"/>
    <w:rsid w:val="419F034A"/>
    <w:rsid w:val="41D344AB"/>
    <w:rsid w:val="4237488F"/>
    <w:rsid w:val="434412B2"/>
    <w:rsid w:val="43BC0414"/>
    <w:rsid w:val="43E32B81"/>
    <w:rsid w:val="43F26766"/>
    <w:rsid w:val="44024EFF"/>
    <w:rsid w:val="44757611"/>
    <w:rsid w:val="44A80B27"/>
    <w:rsid w:val="44C042C1"/>
    <w:rsid w:val="47683462"/>
    <w:rsid w:val="47B45978"/>
    <w:rsid w:val="47F8716B"/>
    <w:rsid w:val="488C324E"/>
    <w:rsid w:val="48D01385"/>
    <w:rsid w:val="492A64AE"/>
    <w:rsid w:val="49A81332"/>
    <w:rsid w:val="4A243715"/>
    <w:rsid w:val="4A665FCA"/>
    <w:rsid w:val="4B182087"/>
    <w:rsid w:val="4B7C11CA"/>
    <w:rsid w:val="4D376FA1"/>
    <w:rsid w:val="4F54389B"/>
    <w:rsid w:val="505530D9"/>
    <w:rsid w:val="510E521B"/>
    <w:rsid w:val="51C61237"/>
    <w:rsid w:val="542E4BC4"/>
    <w:rsid w:val="548A2532"/>
    <w:rsid w:val="55765BD7"/>
    <w:rsid w:val="57D5317B"/>
    <w:rsid w:val="57D75040"/>
    <w:rsid w:val="59554946"/>
    <w:rsid w:val="59D431E4"/>
    <w:rsid w:val="5ADD0BBD"/>
    <w:rsid w:val="5B102954"/>
    <w:rsid w:val="5C876527"/>
    <w:rsid w:val="5C8C1047"/>
    <w:rsid w:val="5CC806BE"/>
    <w:rsid w:val="5D5D7FA5"/>
    <w:rsid w:val="5DAD3FBC"/>
    <w:rsid w:val="5E0946E7"/>
    <w:rsid w:val="5EAE1A46"/>
    <w:rsid w:val="5EB84991"/>
    <w:rsid w:val="5FD444FF"/>
    <w:rsid w:val="5FEC40B7"/>
    <w:rsid w:val="605748FF"/>
    <w:rsid w:val="607314DF"/>
    <w:rsid w:val="60771EDD"/>
    <w:rsid w:val="609777D9"/>
    <w:rsid w:val="60C75ABE"/>
    <w:rsid w:val="626A3B0B"/>
    <w:rsid w:val="6280260C"/>
    <w:rsid w:val="62A9682A"/>
    <w:rsid w:val="63C62289"/>
    <w:rsid w:val="663D47D5"/>
    <w:rsid w:val="66BE18C8"/>
    <w:rsid w:val="66CC03F9"/>
    <w:rsid w:val="66DB76A4"/>
    <w:rsid w:val="671726B3"/>
    <w:rsid w:val="68AC6769"/>
    <w:rsid w:val="6914423F"/>
    <w:rsid w:val="691E28C4"/>
    <w:rsid w:val="696E3150"/>
    <w:rsid w:val="6A0B1AE0"/>
    <w:rsid w:val="6C2F3476"/>
    <w:rsid w:val="6CAF763A"/>
    <w:rsid w:val="6D850F4B"/>
    <w:rsid w:val="6F840BE2"/>
    <w:rsid w:val="71904A35"/>
    <w:rsid w:val="71A55BC9"/>
    <w:rsid w:val="71CD13DF"/>
    <w:rsid w:val="71CE125D"/>
    <w:rsid w:val="725A0EC4"/>
    <w:rsid w:val="72894056"/>
    <w:rsid w:val="728B4EBD"/>
    <w:rsid w:val="732B3C49"/>
    <w:rsid w:val="73C836A7"/>
    <w:rsid w:val="76621245"/>
    <w:rsid w:val="796513D2"/>
    <w:rsid w:val="79E63408"/>
    <w:rsid w:val="7B005489"/>
    <w:rsid w:val="7B0A5DF9"/>
    <w:rsid w:val="7CF11D5F"/>
    <w:rsid w:val="7D4410C6"/>
    <w:rsid w:val="7D7812D5"/>
    <w:rsid w:val="7EB815EE"/>
    <w:rsid w:val="7FC444F3"/>
    <w:rsid w:val="7FCD1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theme="minorBidi"/>
      <w:kern w:val="2"/>
      <w:sz w:val="21"/>
      <w:lang w:val="en-US" w:eastAsia="zh-CN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  <w:lang w:bidi="ar-SA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  <w:lang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  <w:style w:type="paragraph" w:customStyle="1" w:styleId="10">
    <w:name w:val="Date"/>
    <w:basedOn w:val="1"/>
    <w:next w:val="1"/>
    <w:qFormat/>
    <w:uiPriority w:val="0"/>
    <w:pPr>
      <w:spacing w:after="0" w:afterLines="0"/>
      <w:jc w:val="right"/>
    </w:pPr>
    <w:rPr>
      <w:color w:val="5590CC"/>
      <w:sz w:val="24"/>
      <w:szCs w:val="24"/>
    </w:rPr>
  </w:style>
  <w:style w:type="paragraph" w:customStyle="1" w:styleId="11">
    <w:name w:val="Contact Details"/>
    <w:basedOn w:val="1"/>
    <w:qFormat/>
    <w:uiPriority w:val="0"/>
    <w:pPr>
      <w:spacing w:before="80" w:beforeLines="0" w:after="80" w:afterLines="0"/>
    </w:pPr>
    <w:rPr>
      <w:color w:val="FFFFFF"/>
      <w:sz w:val="16"/>
      <w:szCs w:val="14"/>
    </w:rPr>
  </w:style>
  <w:style w:type="paragraph" w:customStyle="1" w:styleId="12">
    <w:name w:val="Organization"/>
    <w:basedOn w:val="1"/>
    <w:qFormat/>
    <w:uiPriority w:val="0"/>
    <w:pPr>
      <w:spacing w:after="0" w:afterLines="0" w:line="600" w:lineRule="exact"/>
    </w:pPr>
    <w:rPr>
      <w:rFonts w:ascii="Calibri" w:hAnsi="Calibri"/>
      <w:color w:val="FFFFFF"/>
      <w:sz w:val="56"/>
      <w:szCs w:val="36"/>
    </w:rPr>
  </w:style>
  <w:style w:type="paragraph" w:customStyle="1" w:styleId="13">
    <w:name w:val="No Spacing"/>
    <w:link w:val="14"/>
    <w:qFormat/>
    <w:uiPriority w:val="0"/>
    <w:rPr>
      <w:rFonts w:hint="default" w:ascii="Times New Roman" w:hAnsi="Times New Roman" w:eastAsia="宋体" w:cstheme="minorBidi"/>
      <w:sz w:val="22"/>
    </w:rPr>
  </w:style>
  <w:style w:type="character" w:customStyle="1" w:styleId="14">
    <w:name w:val="无间隔 Char"/>
    <w:basedOn w:val="8"/>
    <w:link w:val="13"/>
    <w:qFormat/>
    <w:uiPriority w:val="0"/>
    <w:rPr>
      <w:rFonts w:hint="default" w:ascii="Times New Roman" w:hAnsi="Times New Roman" w:eastAsia="宋体"/>
      <w:sz w:val="22"/>
    </w:rPr>
  </w:style>
  <w:style w:type="paragraph" w:customStyle="1" w:styleId="15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5" Type="http://schemas.openxmlformats.org/officeDocument/2006/relationships/fontTable" Target="fontTable.xml"/><Relationship Id="rId64" Type="http://schemas.openxmlformats.org/officeDocument/2006/relationships/numbering" Target="numbering.xml"/><Relationship Id="rId63" Type="http://schemas.openxmlformats.org/officeDocument/2006/relationships/customXml" Target="../customXml/item1.xml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Gocheck&#25805;&#20316;&#25163;&#20876;-20190325\Normal.wp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格纹型"/>
      <sectRole val="1"/>
    </customSectPr>
    <customSectPr/>
  </customSectProps>
  <customShpExts>
    <customShpInfo spid="_x0000_s1026" textRotate="1"/>
    <customShpInfo spid="_x0000_s1051"/>
    <customShpInfo spid="_x0000_s1050"/>
    <customShpInfo spid="_x0000_s1052"/>
    <customShpInfo spid="_x0000_s105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gocheck</cp:lastModifiedBy>
  <dcterms:modified xsi:type="dcterms:W3CDTF">2020-02-21T08:39:24Z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