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pict>
          <v:shape id="_x0000_s1051" o:spid="_x0000_s1051" o:spt="75" type="#_x0000_t75" style="position:absolute;left:0pt;margin-left:-90.4pt;margin-top:-84.7pt;height:451.85pt;width:595.35pt;z-index:-251655168;mso-width-relative:page;mso-height-relative:page;" filled="f" stroked="f" coordsize="21600,21600">
            <v:path/>
            <v:fill on="f" focussize="0,0"/>
            <v:stroke on="f"/>
            <v:imagedata r:id="rId6" o:title="未标题-1"/>
            <o:lock v:ext="edit" grouping="f" rotation="f" text="f" aspectratio="t"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1557020</wp:posOffset>
                </wp:positionH>
                <wp:positionV relativeFrom="paragraph">
                  <wp:posOffset>7574915</wp:posOffset>
                </wp:positionV>
                <wp:extent cx="2288540" cy="429895"/>
                <wp:effectExtent l="0" t="0" r="0" b="0"/>
                <wp:wrapNone/>
                <wp:docPr id="171" name="矩形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8540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0" w:leftChars="0" w:right="0" w:rightChars="0" w:firstLine="0" w:firstLineChars="0"/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lang w:val="en-US" w:eastAsia="zh-CN"/>
                              </w:rPr>
                              <w:t>2020年2月</w:t>
                            </w:r>
                          </w:p>
                        </w:txbxContent>
                      </wps:txbx>
                      <wps:bodyPr lIns="0" tIns="45720" rIns="91440" bIns="45720" anchor="b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2.6pt;margin-top:596.45pt;height:33.85pt;width:180.2pt;z-index:251686912;v-text-anchor:bottom;mso-width-relative:page;mso-height-relative:page;" filled="f" stroked="f" coordsize="21600,21600" o:gfxdata="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3/fMm2gAAAA0B&#10;AAAPAAAAAAAAAAEAIAAAACIAAABkcnMvZG93bnJldi54bWxQSwECFAAUAAAACACHTuJA60PGPacB&#10;AAAyAwAADgAAAAAAAAABACAAAAAp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0mm,1.27mm,2.54mm,1.27mm">
                  <w:txbxContent>
                    <w:p>
                      <w:pPr>
                        <w:ind w:left="0" w:leftChars="0" w:right="0" w:rightChars="0" w:firstLine="0" w:firstLineChars="0"/>
                        <w:jc w:val="center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lang w:val="en-US" w:eastAsia="zh-CN"/>
                        </w:rPr>
                        <w:t>2020年2月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1535430</wp:posOffset>
                </wp:positionH>
                <wp:positionV relativeFrom="paragraph">
                  <wp:posOffset>7280910</wp:posOffset>
                </wp:positionV>
                <wp:extent cx="2288540" cy="445770"/>
                <wp:effectExtent l="0" t="0" r="0" b="0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854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0" w:leftChars="0" w:right="0" w:rightChars="0" w:firstLine="0" w:firstLineChars="0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</w:rPr>
                            </w:pPr>
                            <w:bookmarkStart w:id="11" w:name="_Date#327175886"/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lang w:val="en-US" w:eastAsia="zh-CN"/>
                              </w:rPr>
                              <w:t>通远股份</w:t>
                            </w:r>
                            <w:bookmarkEnd w:id="11"/>
                          </w:p>
                        </w:txbxContent>
                      </wps:txbx>
                      <wps:bodyPr lIns="0" tIns="45720" rIns="91440" bIns="45720" anchor="b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0.9pt;margin-top:573.3pt;height:35.1pt;width:180.2pt;z-index:251670528;v-text-anchor:bottom;mso-width-relative:page;mso-height-relative:page;" filled="f" stroked="f" coordsize="21600,21600" o:gfxdata="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a0uy5doAAAANAQAA&#10;DwAAAAAAAAABACAAAAAiAAAAZHJzL2Rvd25yZXYueG1sUEsBAhQAFAAAAAgAh07iQCSC1MylAQAA&#10;MAMAAA4AAAAAAAAAAQAgAAAAKQEAAGRycy9lMm9Eb2MueG1sUEsFBgAAAAAGAAYAWQEAAEAFAAAA&#10;AA==&#10;">
                <v:fill on="f" focussize="0,0"/>
                <v:stroke on="f"/>
                <v:imagedata o:title=""/>
                <o:lock v:ext="edit" aspectratio="f"/>
                <v:textbox inset="0mm,1.27mm,2.54mm,1.27mm">
                  <w:txbxContent>
                    <w:p>
                      <w:pPr>
                        <w:ind w:left="0" w:leftChars="0" w:right="0" w:rightChars="0" w:firstLine="0" w:firstLineChars="0"/>
                        <w:jc w:val="center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</w:rPr>
                      </w:pPr>
                      <w:bookmarkStart w:id="11" w:name="_Date#327175886"/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lang w:val="en-US" w:eastAsia="zh-CN"/>
                        </w:rPr>
                        <w:t>通远股份</w:t>
                      </w:r>
                      <w:bookmarkEnd w:id="11"/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</w:rPr>
        <w:pict>
          <v:rect id="_x0000_s1052" o:spid="_x0000_s1052" o:spt="1" style="position:absolute;left:0pt;margin-left:-14.8pt;margin-top:374.65pt;height:38.4pt;width:460.2pt;z-index:251659264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 style="mso-fit-shape-to-text:t;">
              <w:txbxContent>
                <w:p>
                  <w:pPr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sz w:val="44"/>
                      <w:szCs w:val="44"/>
                    </w:rPr>
                  </w:pPr>
                  <w:bookmarkStart w:id="12" w:name="_Abstract#3451862810"/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808080"/>
                      <w:sz w:val="44"/>
                      <w:szCs w:val="44"/>
                      <w:lang w:val="zh-CN"/>
                    </w:rPr>
                    <w:t>[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808080"/>
                      <w:sz w:val="44"/>
                      <w:szCs w:val="44"/>
                      <w:lang w:val="en-US" w:eastAsia="zh-CN"/>
                    </w:rPr>
                    <w:t>指导教师版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808080"/>
                      <w:sz w:val="44"/>
                      <w:szCs w:val="44"/>
                      <w:lang w:val="zh-CN"/>
                    </w:rPr>
                    <w:t>]</w:t>
                  </w:r>
                  <w:bookmarkEnd w:id="12"/>
                </w:p>
              </w:txbxContent>
            </v:textbox>
          </v:rect>
        </w:pict>
      </w:r>
      <w:bookmarkStart w:id="13" w:name="_GoBack"/>
      <w:bookmarkEnd w:id="13"/>
      <w:r>
        <w:rPr>
          <w:rFonts w:hint="eastAsia" w:ascii="微软雅黑" w:hAnsi="微软雅黑" w:eastAsia="微软雅黑" w:cs="微软雅黑"/>
        </w:rPr>
        <w:pict>
          <v:rect id="_x0000_s1053" o:spid="_x0000_s1053" o:spt="1" style="position:absolute;left:0pt;margin-left:-11.1pt;margin-top:312.05pt;height:69.6pt;width:448.85pt;z-index:251658240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 style="mso-fit-shape-to-text:t;">
              <w:txbxContent>
                <w:p>
                  <w:pPr>
                    <w:pStyle w:val="11"/>
                    <w:rPr>
                      <w:rFonts w:hint="eastAsia" w:ascii="微软雅黑" w:hAnsi="微软雅黑" w:eastAsia="微软雅黑" w:cs="微软雅黑"/>
                      <w:sz w:val="84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84"/>
                      <w:lang w:val="en-US" w:eastAsia="zh-CN"/>
                    </w:rPr>
                    <w:t>G·格子达系统操作手册</w:t>
                  </w:r>
                </w:p>
              </w:txbxContent>
            </v:textbox>
          </v:rect>
        </w:pict>
      </w:r>
      <w:r>
        <w:rPr>
          <w:sz w:val="20"/>
          <w:szCs w:val="18"/>
        </w:rPr>
        <w:drawing>
          <wp:inline distT="0" distB="0" distL="114300" distR="114300">
            <wp:extent cx="5289550" cy="1424940"/>
            <wp:effectExtent l="0" t="0" r="6350" b="3810"/>
            <wp:docPr id="50" name="图片 50" descr="logo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logo贴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="宋体" w:hAnsi="宋体" w:eastAsia="宋体" w:cstheme="minorBidi"/>
          <w:kern w:val="2"/>
          <w:sz w:val="21"/>
          <w:lang w:val="en-US" w:eastAsia="zh-CN"/>
        </w:rPr>
        <w:id w:val="147464487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lang w:val="en-US" w:eastAsia="zh-CN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"1-1"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_Toc5940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一、 使用前准备</w:t>
          </w:r>
          <w:r>
            <w:tab/>
          </w:r>
          <w:r>
            <w:fldChar w:fldCharType="begin"/>
          </w:r>
          <w:r>
            <w:instrText xml:space="preserve"> PAGEREF _Toc5940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_Toc7637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二、 登录系统</w:t>
          </w:r>
          <w:r>
            <w:tab/>
          </w:r>
          <w:r>
            <w:fldChar w:fldCharType="begin"/>
          </w:r>
          <w:r>
            <w:instrText xml:space="preserve"> PAGEREF _Toc7637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_Toc521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三、 论文管理整体情况</w:t>
          </w:r>
          <w:r>
            <w:tab/>
          </w:r>
          <w:r>
            <w:fldChar w:fldCharType="begin"/>
          </w:r>
          <w:r>
            <w:instrText xml:space="preserve"> PAGEREF _Toc521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_Toc31766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szCs w:val="24"/>
              <w:lang w:val="en-US" w:eastAsia="zh-CN"/>
            </w:rPr>
            <w:t>四、 论文检测</w:t>
          </w:r>
          <w:r>
            <w:tab/>
          </w:r>
          <w:r>
            <w:fldChar w:fldCharType="begin"/>
          </w:r>
          <w:r>
            <w:instrText xml:space="preserve"> PAGEREF _Toc31766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_Toc11550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2"/>
              <w:lang w:val="en-US" w:eastAsia="zh-CN"/>
            </w:rPr>
            <w:t>五、 自建库管理</w:t>
          </w:r>
          <w:r>
            <w:tab/>
          </w:r>
          <w:r>
            <w:fldChar w:fldCharType="begin"/>
          </w:r>
          <w:r>
            <w:instrText xml:space="preserve"> PAGEREF _Toc11550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_Toc17129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六、 账户中心</w:t>
          </w:r>
          <w:r>
            <w:tab/>
          </w:r>
          <w:r>
            <w:fldChar w:fldCharType="begin"/>
          </w:r>
          <w:r>
            <w:instrText xml:space="preserve"> PAGEREF _Toc17129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0" w:name="_Toc5940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使用前准备</w:t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请使用IE9以上内核的浏览器登录使用本系统，推荐使用谷歌浏览器；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G·格子达系统官网：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www.gocheck.cn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，系统为云服务形式，在浏览器地址栏输入地址直接打开即可访问。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1" w:name="_Toc7637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登录系统</w:t>
      </w:r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</w:t>
      </w:r>
    </w:p>
    <w:p>
      <w:pPr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50" w:leftChars="0" w:hanging="453" w:firstLineChars="0"/>
        <w:jc w:val="left"/>
        <w:textAlignment w:val="auto"/>
        <w:outlineLvl w:val="2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账号密码登录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在打开的浏览器窗口，输入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www.gocheck.cn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，直接打开G·格子达系统官网：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6690" cy="2570480"/>
            <wp:effectExtent l="0" t="0" r="10160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628650" cy="342900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按钮，直接打开登录界面：</w:t>
      </w:r>
      <w:r>
        <w:rPr>
          <w:rFonts w:hint="eastAsia" w:ascii="微软雅黑" w:hAnsi="微软雅黑" w:eastAsia="微软雅黑" w:cs="微软雅黑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6690" cy="2570480"/>
            <wp:effectExtent l="0" t="0" r="10160" b="12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输入学校分配的账号、密码、图形验证码，点击【登录】或按下【Enter】键，即可登录。</w:t>
      </w:r>
    </w:p>
    <w:p>
      <w:pPr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50" w:leftChars="0" w:hanging="453" w:firstLineChars="0"/>
        <w:jc w:val="left"/>
        <w:textAlignment w:val="auto"/>
        <w:outlineLvl w:val="2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微信登录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在登录界面，如选择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885825" cy="314325"/>
            <wp:effectExtent l="0" t="0" r="9525" b="952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，可以打开微信进行扫码登录，前提是已经将账号与本人微信号绑定，绑定方法将在后续进行介绍。绑定后除支持微信登录外，还可以使用移动端相关管理功能。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6690" cy="2570480"/>
            <wp:effectExtent l="0" t="0" r="10160" b="127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注：首次登录需绑定手机号码，修改默认登录密码（为避免账号被盗取，登录密码要求6-20位数字字母组合）。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找回密码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指导教师如忘记登录密码，如您的账号还未绑定手机号码，请联系您的院系管理员为您重置密码；如您的账号已绑定手机号码，可通过登录界面的【忘记密码？】功能找回密码。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6690" cy="2570480"/>
            <wp:effectExtent l="0" t="0" r="10160" b="127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2" w:name="_Toc25126_WPSOffice_Level1"/>
      <w:bookmarkStart w:id="3" w:name="_Toc521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论文管理整体情况</w:t>
      </w:r>
      <w:bookmarkEnd w:id="2"/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点击左侧【论文管理整体情况】菜单，支持指导教师对论文管理整体进度情况进行把控：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left"/>
        <w:textAlignment w:val="auto"/>
      </w:pPr>
      <w:r>
        <w:drawing>
          <wp:inline distT="0" distB="0" distL="114300" distR="114300">
            <wp:extent cx="5266690" cy="2419350"/>
            <wp:effectExtent l="0" t="0" r="1016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40" w:firstLineChars="200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左侧毕业论文管理工作整体进度图表，展示提交论文、查重通过等管理环节，所指导学生的完成进度情况。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40" w:firstLineChars="200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点击某个节点的名称，可查看该节点的数据；点击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1600200" cy="333375"/>
            <wp:effectExtent l="0" t="0" r="0" b="9525"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，可查看每个学生历次检测的详情数据；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left"/>
        <w:textAlignment w:val="auto"/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【通知公告】栏目展示教务处管理员添加的通知公告：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left"/>
        <w:textAlignment w:val="auto"/>
      </w:pPr>
      <w:r>
        <w:drawing>
          <wp:inline distT="0" distB="0" distL="114300" distR="114300">
            <wp:extent cx="4029075" cy="3276600"/>
            <wp:effectExtent l="0" t="0" r="9525" b="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left"/>
        <w:textAlignment w:val="auto"/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【文档模板下载中心】栏目展示教务处管理员添加的论文文档模板：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left"/>
        <w:textAlignment w:val="auto"/>
      </w:pPr>
      <w:r>
        <w:drawing>
          <wp:inline distT="0" distB="0" distL="114300" distR="114300">
            <wp:extent cx="4076700" cy="3267075"/>
            <wp:effectExtent l="0" t="0" r="0" b="952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如需查看往年历史数据，请先在</w:t>
      </w:r>
      <w:r>
        <w:rPr>
          <w:sz w:val="20"/>
          <w:szCs w:val="18"/>
        </w:rPr>
        <w:drawing>
          <wp:inline distT="0" distB="0" distL="114300" distR="114300">
            <wp:extent cx="1590675" cy="400050"/>
            <wp:effectExtent l="0" t="0" r="9525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下拉切换学年数据：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left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19350"/>
            <wp:effectExtent l="0" t="0" r="1016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jc w:val="left"/>
        <w:textAlignment w:val="auto"/>
        <w:outlineLvl w:val="0"/>
        <w:rPr>
          <w:rFonts w:hint="default" w:ascii="微软雅黑" w:hAnsi="微软雅黑" w:eastAsia="微软雅黑" w:cs="微软雅黑"/>
          <w:b/>
          <w:bCs/>
          <w:i w:val="0"/>
          <w:iCs w:val="0"/>
          <w:sz w:val="24"/>
          <w:szCs w:val="24"/>
          <w:lang w:val="en-US" w:eastAsia="zh-CN"/>
        </w:rPr>
      </w:pPr>
      <w:bookmarkStart w:id="4" w:name="_Toc31766"/>
      <w:bookmarkStart w:id="5" w:name="_Toc31346_WPSOffice_Level1"/>
      <w:r>
        <w:rPr>
          <w:rFonts w:hint="eastAsia" w:ascii="微软雅黑" w:hAnsi="微软雅黑" w:eastAsia="微软雅黑" w:cs="微软雅黑"/>
          <w:b/>
          <w:bCs/>
          <w:i w:val="0"/>
          <w:iCs w:val="0"/>
          <w:sz w:val="24"/>
          <w:szCs w:val="24"/>
          <w:lang w:val="en-US" w:eastAsia="zh-CN"/>
        </w:rPr>
        <w:t>论文检测</w:t>
      </w:r>
      <w:bookmarkEnd w:id="4"/>
      <w:bookmarkEnd w:id="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jc w:val="left"/>
        <w:textAlignment w:val="auto"/>
        <w:outlineLvl w:val="9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点击左侧【论文检测】菜单，可提交论文查重检测及查看检测报告。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5" w:leftChars="0" w:hanging="425" w:firstLineChars="0"/>
        <w:jc w:val="left"/>
        <w:textAlignment w:val="auto"/>
        <w:outlineLvl w:val="9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提交检测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支持指导教师上传单个文档，或以rar/zip压缩包形式提交多个文档进行检测：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jc w:val="left"/>
        <w:textAlignment w:val="auto"/>
        <w:outlineLvl w:val="9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检测有两个入口，一个是【新论文检测】，一个是【往届论文检测】。如果您提交检测的是以前的往届论文，请选择【往届论文检测】入口，该入口可以选择参检资源库的时间范围。</w:t>
      </w:r>
    </w:p>
    <w:p>
      <w:pPr>
        <w:keepNext w:val="0"/>
        <w:keepLines w:val="0"/>
        <w:pageBreakBefore w:val="0"/>
        <w:widowControl w:val="0"/>
        <w:numPr>
          <w:ilvl w:val="1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50" w:leftChars="0" w:hanging="453" w:firstLineChars="0"/>
        <w:jc w:val="left"/>
        <w:textAlignment w:val="auto"/>
        <w:outlineLvl w:val="9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上传文档，选择分组</w:t>
      </w:r>
    </w:p>
    <w:p>
      <w:pPr>
        <w:jc w:val="left"/>
        <w:rPr>
          <w:rFonts w:hint="default"/>
          <w:sz w:val="20"/>
          <w:szCs w:val="18"/>
          <w:lang w:val="en-US" w:eastAsia="zh-CN"/>
        </w:rPr>
      </w:pPr>
      <w:r>
        <w:drawing>
          <wp:inline distT="0" distB="0" distL="114300" distR="114300">
            <wp:extent cx="5266690" cy="2419350"/>
            <wp:effectExtent l="0" t="0" r="10160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1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50" w:leftChars="0" w:hanging="453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选择资源库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outlineLvl w:val="9"/>
        <w:rPr>
          <w:sz w:val="20"/>
          <w:szCs w:val="18"/>
        </w:rPr>
      </w:pPr>
      <w:r>
        <w:drawing>
          <wp:inline distT="0" distB="0" distL="114300" distR="114300">
            <wp:extent cx="5266690" cy="2419350"/>
            <wp:effectExtent l="0" t="0" r="1016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机构自建资源库：指教务处、院系管理员在自建库中上传的资源，必须参与检测；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jc w:val="left"/>
        <w:textAlignment w:val="auto"/>
        <w:outlineLvl w:val="9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导师自建资源库：指指导教师在自建库中上传的资源，勾选则参与检测，不勾选则不参与检测。</w:t>
      </w:r>
    </w:p>
    <w:p>
      <w:pPr>
        <w:keepNext w:val="0"/>
        <w:keepLines w:val="0"/>
        <w:pageBreakBefore w:val="0"/>
        <w:widowControl w:val="0"/>
        <w:numPr>
          <w:ilvl w:val="1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50" w:leftChars="0" w:hanging="453" w:firstLineChars="0"/>
        <w:jc w:val="left"/>
        <w:textAlignment w:val="auto"/>
        <w:outlineLvl w:val="9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提交检测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提交检测后，系统需要上传待检测文档，需要等待些许时间，用户也可以关闭页面，稍后再去查看检测报告页面查看检测结果。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5" w:leftChars="0" w:hanging="425" w:firstLineChars="0"/>
        <w:jc w:val="left"/>
        <w:textAlignment w:val="auto"/>
        <w:outlineLvl w:val="9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论文上传记录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支持查看所有提交检测的论文上传记录，对于解析异常，未提交成功的文档，可以下载异常文档数据Excel。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left"/>
        <w:textAlignment w:val="auto"/>
        <w:outlineLvl w:val="9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drawing>
          <wp:inline distT="0" distB="0" distL="114300" distR="114300">
            <wp:extent cx="5266690" cy="2419350"/>
            <wp:effectExtent l="0" t="0" r="10160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5" w:leftChars="0" w:hanging="425" w:firstLineChars="0"/>
        <w:jc w:val="left"/>
        <w:textAlignment w:val="auto"/>
        <w:outlineLvl w:val="9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查看检测报告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jc w:val="left"/>
        <w:textAlignment w:val="auto"/>
        <w:outlineLvl w:val="9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支持院系管理员查看所有已检测记录的检测报告：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left"/>
        <w:textAlignment w:val="auto"/>
        <w:outlineLvl w:val="9"/>
        <w:rPr>
          <w:sz w:val="20"/>
          <w:szCs w:val="18"/>
        </w:rPr>
      </w:pPr>
      <w:r>
        <w:drawing>
          <wp:inline distT="0" distB="0" distL="114300" distR="114300">
            <wp:extent cx="5266690" cy="2419350"/>
            <wp:effectExtent l="0" t="0" r="10160" b="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点击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676275" cy="381000"/>
            <wp:effectExtent l="0" t="0" r="9525" b="0"/>
            <wp:docPr id="13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可进入该条检测任务的报告查看页面，再次点击某条记录后的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676275" cy="381000"/>
            <wp:effectExtent l="0" t="0" r="9525" b="0"/>
            <wp:docPr id="1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，可以打开该条记录的检测报告：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outlineLvl w:val="9"/>
        <w:rPr>
          <w:sz w:val="20"/>
          <w:szCs w:val="18"/>
        </w:rPr>
      </w:pPr>
      <w:r>
        <w:drawing>
          <wp:inline distT="0" distB="0" distL="114300" distR="114300">
            <wp:extent cx="5266690" cy="2419350"/>
            <wp:effectExtent l="0" t="0" r="1016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报告主要分为简版报告、标红报告、图片检测报告（如果已设置）、格式检测报告（如果已设置）四种：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4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caps w:val="0"/>
          <w:color w:val="auto"/>
          <w:spacing w:val="0"/>
          <w:sz w:val="22"/>
          <w:szCs w:val="22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2"/>
          <w:szCs w:val="22"/>
          <w:shd w:val="clear" w:fill="FFFFFF"/>
          <w:lang w:val="en-US" w:eastAsia="zh-CN"/>
        </w:rPr>
        <w:t>简版报告：对检测整体基本情况进行描述的报告，主要包括整体结论、检测结果示意图、检测环境指标、相似来源汇总四个部分：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outlineLvl w:val="9"/>
        <w:rPr>
          <w:sz w:val="20"/>
          <w:szCs w:val="18"/>
        </w:rPr>
      </w:pPr>
      <w:r>
        <w:drawing>
          <wp:inline distT="0" distB="0" distL="114300" distR="114300">
            <wp:extent cx="5266690" cy="2529205"/>
            <wp:effectExtent l="0" t="0" r="10160" b="444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40" w:leftChars="0" w:hanging="420" w:firstLineChars="0"/>
        <w:jc w:val="left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2"/>
          <w:szCs w:val="22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2"/>
          <w:szCs w:val="22"/>
          <w:shd w:val="clear" w:fill="FFFFFF"/>
          <w:lang w:val="en-US" w:eastAsia="zh-CN"/>
        </w:rPr>
        <w:t>标红报告：将文档中相似的标红部分全部展示，点击标红的句子，可以查看句子的相似详情：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outlineLvl w:val="9"/>
        <w:rPr>
          <w:sz w:val="20"/>
          <w:szCs w:val="18"/>
        </w:rPr>
      </w:pPr>
      <w:r>
        <w:drawing>
          <wp:inline distT="0" distB="0" distL="114300" distR="114300">
            <wp:extent cx="5266690" cy="2529205"/>
            <wp:effectExtent l="0" t="0" r="10160" b="444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color w:val="F7860C"/>
          <w:sz w:val="22"/>
          <w:szCs w:val="22"/>
          <w:lang w:val="en-US" w:eastAsia="zh-CN"/>
        </w:rPr>
        <w:t>橙色字体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标注：表示相似度在50%-70%的内容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红色字体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标注：表示相似度在70%以上的内容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color w:val="2E75B6" w:themeColor="accent1" w:themeShade="BF"/>
          <w:sz w:val="22"/>
          <w:szCs w:val="22"/>
          <w:lang w:val="en-US" w:eastAsia="zh-CN"/>
        </w:rPr>
        <w:t>蓝色字体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标注：表示引用的内容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2"/>
          <w:szCs w:val="22"/>
          <w:lang w:val="en-US" w:eastAsia="zh-CN"/>
        </w:rPr>
        <w:t>深蓝色字体</w:t>
      </w:r>
      <w:r>
        <w:rPr>
          <w:rFonts w:hint="eastAsia" w:ascii="微软雅黑" w:hAnsi="微软雅黑" w:eastAsia="微软雅黑" w:cs="微软雅黑"/>
          <w:color w:val="auto"/>
          <w:sz w:val="22"/>
          <w:szCs w:val="22"/>
          <w:lang w:val="en-US" w:eastAsia="zh-CN"/>
        </w:rPr>
        <w:t>标注</w:t>
      </w:r>
      <w:r>
        <w:rPr>
          <w:rFonts w:hint="eastAsia" w:ascii="微软雅黑" w:hAnsi="微软雅黑" w:eastAsia="微软雅黑" w:cs="微软雅黑"/>
          <w:color w:val="0000FF"/>
          <w:sz w:val="22"/>
          <w:szCs w:val="22"/>
          <w:lang w:val="en-US" w:eastAsia="zh-CN"/>
        </w:rPr>
        <w:t>：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可能遗漏但被识别到与参考文献列表对应的引用片段 / 法律、法规、标准等引用片段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jc w:val="left"/>
        <w:textAlignment w:val="auto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黑色字体标注：表示自写的内容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40" w:leftChars="0" w:hanging="420" w:firstLineChars="0"/>
        <w:jc w:val="left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2"/>
          <w:szCs w:val="22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2"/>
          <w:szCs w:val="22"/>
          <w:shd w:val="clear" w:fill="FFFFFF"/>
          <w:lang w:val="en-US" w:eastAsia="zh-CN"/>
        </w:rPr>
        <w:t>图片检测报告：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jc w:val="left"/>
        <w:textAlignment w:val="auto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如在【系统参数设置】-【查重参数设置】中，勾选了【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2"/>
          <w:szCs w:val="22"/>
          <w:shd w:val="clear" w:fill="FFFFFF"/>
          <w:lang w:val="en-US" w:eastAsia="zh-CN"/>
        </w:rPr>
        <w:t>图片检测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】，则检测完成后会输出图片检测报告，图片检测报告将会检测相似的图片，以及疑似文字的图片（此种将会把文字识别出来，当做正文参与检测）两种：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2"/>
          <w:szCs w:val="22"/>
          <w:shd w:val="clear" w:fill="FFFFFF"/>
          <w:lang w:val="en-US" w:eastAsia="zh-CN"/>
        </w:rPr>
      </w:pPr>
      <w:r>
        <w:drawing>
          <wp:inline distT="0" distB="0" distL="114300" distR="114300">
            <wp:extent cx="5266690" cy="2529205"/>
            <wp:effectExtent l="0" t="0" r="10160" b="444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40" w:leftChars="0" w:hanging="420" w:firstLineChars="0"/>
        <w:jc w:val="left"/>
        <w:textAlignment w:val="auto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2"/>
          <w:szCs w:val="22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2"/>
          <w:szCs w:val="22"/>
          <w:shd w:val="clear" w:fill="FFFFFF"/>
          <w:lang w:val="en-US" w:eastAsia="zh-CN"/>
        </w:rPr>
        <w:t>格式检测报告：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jc w:val="left"/>
        <w:textAlignment w:val="auto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如在【系统参数设置】-【格式检测模板设置】中，如设置了生效的格式模板，则检测完成后会输出格式检测报告：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</w:pPr>
      <w:r>
        <w:drawing>
          <wp:inline distT="0" distB="0" distL="114300" distR="114300">
            <wp:extent cx="5266690" cy="2529205"/>
            <wp:effectExtent l="0" t="0" r="10160" b="444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5" w:leftChars="0" w:hanging="425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检测问题库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所有已完成检测的记录中，未达到学校要求的记录，将会汇总至检测问题库，方便院系管理员核查。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drawing>
          <wp:inline distT="0" distB="0" distL="114300" distR="114300">
            <wp:extent cx="5266690" cy="2419350"/>
            <wp:effectExtent l="0" t="0" r="10160" b="0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jc w:val="left"/>
        <w:textAlignment w:val="auto"/>
        <w:outlineLvl w:val="0"/>
        <w:rPr>
          <w:rFonts w:hint="default" w:ascii="微软雅黑" w:hAnsi="微软雅黑" w:eastAsia="微软雅黑" w:cs="微软雅黑"/>
          <w:b/>
          <w:bCs/>
          <w:sz w:val="22"/>
          <w:szCs w:val="22"/>
          <w:lang w:val="en-US" w:eastAsia="zh-CN"/>
        </w:rPr>
      </w:pPr>
      <w:bookmarkStart w:id="6" w:name="_Toc481_WPSOffice_Level1"/>
      <w:bookmarkStart w:id="7" w:name="_Toc25146_WPSOffice_Level1"/>
      <w:bookmarkStart w:id="8" w:name="_Toc11550"/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自建库管理</w:t>
      </w:r>
      <w:bookmarkEnd w:id="6"/>
      <w:bookmarkEnd w:id="7"/>
      <w:bookmarkEnd w:id="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jc w:val="left"/>
        <w:textAlignment w:val="auto"/>
        <w:outlineLvl w:val="9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支持院系管理员自建资源库，自建的资源库在检测时可选择是否参与检测：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left"/>
        <w:textAlignment w:val="auto"/>
        <w:outlineLvl w:val="9"/>
        <w:rPr>
          <w:sz w:val="20"/>
          <w:szCs w:val="18"/>
        </w:rPr>
      </w:pPr>
      <w:r>
        <w:drawing>
          <wp:inline distT="0" distB="0" distL="114300" distR="114300">
            <wp:extent cx="5266690" cy="2419350"/>
            <wp:effectExtent l="0" t="0" r="10160" b="0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4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点击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1400175" cy="419100"/>
            <wp:effectExtent l="0" t="0" r="9525" b="0"/>
            <wp:docPr id="9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可新增资源分类，点击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790575" cy="352425"/>
            <wp:effectExtent l="0" t="0" r="9525" b="9525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可以对某个分类下的资源进行管理：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left"/>
        <w:textAlignment w:val="auto"/>
        <w:outlineLvl w:val="9"/>
        <w:rPr>
          <w:sz w:val="20"/>
          <w:szCs w:val="18"/>
        </w:rPr>
      </w:pPr>
      <w:r>
        <w:drawing>
          <wp:inline distT="0" distB="0" distL="114300" distR="114300">
            <wp:extent cx="5266690" cy="2419350"/>
            <wp:effectExtent l="0" t="0" r="10160" b="0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jc w:val="left"/>
        <w:textAlignment w:val="auto"/>
        <w:outlineLvl w:val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9" w:name="_Toc25914_WPSOffice_Level1"/>
      <w:bookmarkStart w:id="10" w:name="_Toc17129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账户中心</w:t>
      </w:r>
      <w:bookmarkEnd w:id="9"/>
      <w:bookmarkEnd w:id="1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点击左侧【账户中心】菜单，可查看与本账户相关的基本信息。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left"/>
        <w:textAlignment w:val="auto"/>
        <w:outlineLvl w:val="9"/>
      </w:pPr>
      <w:r>
        <w:drawing>
          <wp:inline distT="0" distB="0" distL="114300" distR="114300">
            <wp:extent cx="5266690" cy="2419350"/>
            <wp:effectExtent l="0" t="0" r="10160" b="0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5" w:leftChars="0" w:hanging="425" w:firstLineChars="0"/>
        <w:jc w:val="left"/>
        <w:textAlignment w:val="auto"/>
        <w:outlineLvl w:val="1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账户信息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jc w:val="left"/>
        <w:textAlignment w:val="auto"/>
        <w:outlineLvl w:val="9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支持修改账户的姓名与手机号码，姓名可用于检测报告中的姓名取值，手机号码可用于在线找回密码；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left"/>
        <w:textAlignment w:val="auto"/>
        <w:outlineLvl w:val="9"/>
      </w:pPr>
      <w:r>
        <w:drawing>
          <wp:inline distT="0" distB="0" distL="114300" distR="114300">
            <wp:extent cx="5270500" cy="1271270"/>
            <wp:effectExtent l="0" t="0" r="6350" b="5080"/>
            <wp:docPr id="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jc w:val="left"/>
        <w:textAlignment w:val="auto"/>
        <w:outlineLvl w:val="9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支持查看检测次数统计数据，点击某个数据可以查看详细记录：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jc w:val="left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上级分配次数-分配下级次数-消费次数-过期次数=剩余次数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left"/>
        <w:textAlignment w:val="auto"/>
        <w:outlineLvl w:val="9"/>
      </w:pPr>
      <w:r>
        <w:drawing>
          <wp:inline distT="0" distB="0" distL="114300" distR="114300">
            <wp:extent cx="5273040" cy="920115"/>
            <wp:effectExtent l="0" t="0" r="3810" b="13335"/>
            <wp:docPr id="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jc w:val="left"/>
        <w:textAlignment w:val="auto"/>
        <w:outlineLvl w:val="9"/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微信扫一扫，可以微信绑定该账号，下次可以使用微信扫码直接进行登录，另外使用移动端功能需要在此处先绑定微信：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center"/>
        <w:textAlignment w:val="auto"/>
        <w:outlineLvl w:val="9"/>
      </w:pPr>
      <w:r>
        <w:drawing>
          <wp:inline distT="0" distB="0" distL="114300" distR="114300">
            <wp:extent cx="3800475" cy="3733800"/>
            <wp:effectExtent l="0" t="0" r="9525" b="0"/>
            <wp:docPr id="1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已绑定的微信支持解绑，点击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2905125" cy="438150"/>
            <wp:effectExtent l="0" t="0" r="9525" b="0"/>
            <wp:docPr id="1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center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3752850" cy="3609975"/>
            <wp:effectExtent l="0" t="0" r="0" b="9525"/>
            <wp:docPr id="1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5" w:leftChars="0" w:hanging="425" w:firstLineChars="0"/>
        <w:jc w:val="left"/>
        <w:textAlignment w:val="auto"/>
        <w:outlineLvl w:val="1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修改密码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输入原密码，两次新密码，即可完成登录密码的修改。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left"/>
        <w:textAlignment w:val="auto"/>
        <w:outlineLvl w:val="9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419350"/>
            <wp:effectExtent l="0" t="0" r="10160" b="0"/>
            <wp:docPr id="3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vSDC8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t>2</w:t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t>2</w:t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微软雅黑" w:hAnsi="微软雅黑" w:eastAsia="微软雅黑" w:cs="微软雅黑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hint="default" w:ascii="微软雅黑" w:hAnsi="微软雅黑" w:eastAsia="微软雅黑" w:cs="微软雅黑"/>
        <w:sz w:val="18"/>
        <w:szCs w:val="18"/>
        <w:lang w:val="en-US" w:eastAsia="zh-CN"/>
      </w:rPr>
    </w:pPr>
    <w:r>
      <w:rPr>
        <w:rFonts w:hint="eastAsia" w:ascii="微软雅黑" w:hAnsi="微软雅黑" w:eastAsia="微软雅黑" w:cs="微软雅黑"/>
        <w:sz w:val="18"/>
        <w:szCs w:val="18"/>
        <w:lang w:val="en-US" w:eastAsia="zh-CN"/>
      </w:rPr>
      <w:t>G·格子达系统操作手册[指导教师版]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C97622"/>
    <w:multiLevelType w:val="multilevel"/>
    <w:tmpl w:val="A8C9762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1">
    <w:nsid w:val="ADF41D70"/>
    <w:multiLevelType w:val="multilevel"/>
    <w:tmpl w:val="ADF41D7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2">
    <w:nsid w:val="B84C9758"/>
    <w:multiLevelType w:val="singleLevel"/>
    <w:tmpl w:val="B84C975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BB86A6D0"/>
    <w:multiLevelType w:val="multilevel"/>
    <w:tmpl w:val="BB86A6D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4">
    <w:nsid w:val="15EB6CF6"/>
    <w:multiLevelType w:val="singleLevel"/>
    <w:tmpl w:val="15EB6CF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37BC14AF"/>
    <w:multiLevelType w:val="singleLevel"/>
    <w:tmpl w:val="37BC14AF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2781F06"/>
    <w:rsid w:val="04FC3A7E"/>
    <w:rsid w:val="05F109D4"/>
    <w:rsid w:val="0685646E"/>
    <w:rsid w:val="09730639"/>
    <w:rsid w:val="0B411B1E"/>
    <w:rsid w:val="0C11238D"/>
    <w:rsid w:val="0D8B3620"/>
    <w:rsid w:val="108F0992"/>
    <w:rsid w:val="111313B5"/>
    <w:rsid w:val="13AD2FB8"/>
    <w:rsid w:val="1F1C5592"/>
    <w:rsid w:val="20721EF2"/>
    <w:rsid w:val="2083660A"/>
    <w:rsid w:val="215A7B5C"/>
    <w:rsid w:val="217660F4"/>
    <w:rsid w:val="21952BE4"/>
    <w:rsid w:val="22FA24F8"/>
    <w:rsid w:val="240953BA"/>
    <w:rsid w:val="268420B6"/>
    <w:rsid w:val="298C2A15"/>
    <w:rsid w:val="2AE5074A"/>
    <w:rsid w:val="2BB838C6"/>
    <w:rsid w:val="2DCD5428"/>
    <w:rsid w:val="2E426904"/>
    <w:rsid w:val="2ED73802"/>
    <w:rsid w:val="2F014861"/>
    <w:rsid w:val="2F6C7F9A"/>
    <w:rsid w:val="3063491D"/>
    <w:rsid w:val="31BE4BC6"/>
    <w:rsid w:val="36A32209"/>
    <w:rsid w:val="37E57954"/>
    <w:rsid w:val="38735A72"/>
    <w:rsid w:val="3B68539A"/>
    <w:rsid w:val="3D150749"/>
    <w:rsid w:val="41AF6286"/>
    <w:rsid w:val="4370182D"/>
    <w:rsid w:val="43F56F3C"/>
    <w:rsid w:val="44D42E6A"/>
    <w:rsid w:val="45FC4F40"/>
    <w:rsid w:val="4729241A"/>
    <w:rsid w:val="47683462"/>
    <w:rsid w:val="48FA5DEC"/>
    <w:rsid w:val="491031B3"/>
    <w:rsid w:val="4BF22677"/>
    <w:rsid w:val="4D376FA1"/>
    <w:rsid w:val="4F36041F"/>
    <w:rsid w:val="4FB01619"/>
    <w:rsid w:val="4FF91CC9"/>
    <w:rsid w:val="501018DB"/>
    <w:rsid w:val="509028E2"/>
    <w:rsid w:val="50DE5A03"/>
    <w:rsid w:val="52AE47E0"/>
    <w:rsid w:val="53100577"/>
    <w:rsid w:val="538969DC"/>
    <w:rsid w:val="54272E2C"/>
    <w:rsid w:val="55D252DD"/>
    <w:rsid w:val="591201D9"/>
    <w:rsid w:val="5B3F0AFA"/>
    <w:rsid w:val="5BE567EF"/>
    <w:rsid w:val="5E0946E7"/>
    <w:rsid w:val="5F7141B0"/>
    <w:rsid w:val="65474B2C"/>
    <w:rsid w:val="65E52737"/>
    <w:rsid w:val="66456329"/>
    <w:rsid w:val="682E62DE"/>
    <w:rsid w:val="6C1163C6"/>
    <w:rsid w:val="6DD856C4"/>
    <w:rsid w:val="71D61324"/>
    <w:rsid w:val="73080597"/>
    <w:rsid w:val="73A64A21"/>
    <w:rsid w:val="77CA04D7"/>
    <w:rsid w:val="7E24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theme="minorBidi"/>
      <w:kern w:val="2"/>
      <w:sz w:val="21"/>
      <w:lang w:val="en-US" w:eastAsia="zh-CN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  <w:lang w:bidi="ar-SA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  <w:lang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customStyle="1" w:styleId="8">
    <w:name w:val="Date"/>
    <w:basedOn w:val="1"/>
    <w:next w:val="1"/>
    <w:qFormat/>
    <w:uiPriority w:val="0"/>
    <w:pPr>
      <w:spacing w:after="0" w:afterLines="0"/>
      <w:jc w:val="right"/>
    </w:pPr>
    <w:rPr>
      <w:color w:val="5590CC"/>
      <w:sz w:val="24"/>
      <w:szCs w:val="24"/>
    </w:rPr>
  </w:style>
  <w:style w:type="paragraph" w:customStyle="1" w:styleId="9">
    <w:name w:val="Contact Details"/>
    <w:basedOn w:val="1"/>
    <w:qFormat/>
    <w:uiPriority w:val="0"/>
    <w:pPr>
      <w:spacing w:before="80" w:beforeLines="0" w:after="80" w:afterLines="0"/>
    </w:pPr>
    <w:rPr>
      <w:color w:val="FFFFFF"/>
      <w:sz w:val="16"/>
      <w:szCs w:val="14"/>
    </w:rPr>
  </w:style>
  <w:style w:type="paragraph" w:customStyle="1" w:styleId="10">
    <w:name w:val="Organization"/>
    <w:basedOn w:val="1"/>
    <w:qFormat/>
    <w:uiPriority w:val="0"/>
    <w:pPr>
      <w:spacing w:after="0" w:afterLines="0" w:line="600" w:lineRule="exact"/>
    </w:pPr>
    <w:rPr>
      <w:rFonts w:ascii="Calibri" w:hAnsi="Calibri"/>
      <w:color w:val="FFFFFF"/>
      <w:sz w:val="56"/>
      <w:szCs w:val="36"/>
    </w:rPr>
  </w:style>
  <w:style w:type="paragraph" w:customStyle="1" w:styleId="11">
    <w:name w:val="No Spacing"/>
    <w:link w:val="12"/>
    <w:qFormat/>
    <w:uiPriority w:val="0"/>
    <w:rPr>
      <w:rFonts w:hint="default" w:ascii="Times New Roman" w:hAnsi="Times New Roman" w:eastAsia="宋体" w:cstheme="minorBidi"/>
      <w:sz w:val="22"/>
    </w:rPr>
  </w:style>
  <w:style w:type="character" w:customStyle="1" w:styleId="12">
    <w:name w:val="无间隔 Char"/>
    <w:basedOn w:val="7"/>
    <w:link w:val="11"/>
    <w:qFormat/>
    <w:uiPriority w:val="0"/>
    <w:rPr>
      <w:rFonts w:hint="default" w:ascii="Times New Roman" w:hAnsi="Times New Roman" w:eastAsia="宋体"/>
      <w:sz w:val="22"/>
    </w:rPr>
  </w:style>
  <w:style w:type="paragraph" w:customStyle="1" w:styleId="1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Gocheck&#25805;&#20316;&#25163;&#20876;-20190325\Normal.wp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格纹型"/>
      <sectRole val="1"/>
    </customSectPr>
    <customSectPr/>
  </customSectProps>
  <customShpExts>
    <customShpInfo spid="_x0000_s1026" textRotate="1"/>
    <customShpInfo spid="_x0000_s1051"/>
    <customShpInfo spid="_x0000_s1052"/>
    <customShpInfo spid="_x0000_s105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gocheck</cp:lastModifiedBy>
  <dcterms:modified xsi:type="dcterms:W3CDTF">2020-02-21T08:39:12Z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