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4"/>
        <w:gridCol w:w="2430"/>
        <w:gridCol w:w="1215"/>
        <w:gridCol w:w="2552"/>
        <w:gridCol w:w="1215"/>
        <w:gridCol w:w="3524"/>
      </w:tblGrid>
      <w:tr w:rsidR="00D745AF" w:rsidRPr="00D745AF" w:rsidTr="00D745AF">
        <w:trPr>
          <w:tblCellSpacing w:w="0" w:type="dxa"/>
        </w:trPr>
        <w:tc>
          <w:tcPr>
            <w:tcW w:w="500" w:type="pct"/>
            <w:hideMark/>
          </w:tcPr>
          <w:p w:rsidR="00D745AF" w:rsidRPr="00D745AF" w:rsidRDefault="00D745AF" w:rsidP="00D745AF">
            <w:pPr>
              <w:widowControl/>
              <w:spacing w:line="375" w:lineRule="atLeast"/>
              <w:jc w:val="left"/>
              <w:rPr>
                <w:rFonts w:ascii="宋体" w:eastAsia="宋体" w:hAnsi="宋体" w:cs="宋体"/>
                <w:b/>
                <w:bCs/>
                <w:color w:val="4B4B4B"/>
                <w:kern w:val="0"/>
                <w:szCs w:val="21"/>
              </w:rPr>
            </w:pPr>
          </w:p>
        </w:tc>
        <w:tc>
          <w:tcPr>
            <w:tcW w:w="0" w:type="auto"/>
            <w:gridSpan w:val="5"/>
            <w:hideMark/>
          </w:tcPr>
          <w:p w:rsidR="00D745AF" w:rsidRPr="00D745AF" w:rsidRDefault="00D745AF" w:rsidP="00D745AF">
            <w:pPr>
              <w:widowControl/>
              <w:spacing w:line="375" w:lineRule="atLeast"/>
              <w:jc w:val="left"/>
              <w:rPr>
                <w:rFonts w:ascii="宋体" w:eastAsia="宋体" w:hAnsi="宋体" w:cs="宋体"/>
                <w:b/>
                <w:bCs/>
                <w:color w:val="CC3300"/>
                <w:kern w:val="0"/>
                <w:szCs w:val="21"/>
              </w:rPr>
            </w:pPr>
          </w:p>
        </w:tc>
      </w:tr>
      <w:tr w:rsidR="00D745AF" w:rsidRPr="00D745AF" w:rsidTr="00D745AF">
        <w:trPr>
          <w:tblCellSpacing w:w="0" w:type="dxa"/>
        </w:trPr>
        <w:tc>
          <w:tcPr>
            <w:tcW w:w="500" w:type="pct"/>
            <w:hideMark/>
          </w:tcPr>
          <w:p w:rsidR="00D745AF" w:rsidRPr="00D745AF" w:rsidRDefault="00D745AF" w:rsidP="00D745AF">
            <w:pPr>
              <w:widowControl/>
              <w:spacing w:line="375" w:lineRule="atLeast"/>
              <w:jc w:val="left"/>
              <w:rPr>
                <w:rFonts w:ascii="宋体" w:eastAsia="宋体" w:hAnsi="宋体" w:cs="宋体"/>
                <w:b/>
                <w:bCs/>
                <w:color w:val="4B4B4B"/>
                <w:kern w:val="0"/>
                <w:szCs w:val="21"/>
              </w:rPr>
            </w:pPr>
          </w:p>
        </w:tc>
        <w:tc>
          <w:tcPr>
            <w:tcW w:w="1000" w:type="pct"/>
            <w:hideMark/>
          </w:tcPr>
          <w:p w:rsidR="00D745AF" w:rsidRPr="00D745AF" w:rsidRDefault="00D745AF" w:rsidP="00D745AF">
            <w:pPr>
              <w:widowControl/>
              <w:spacing w:line="375" w:lineRule="atLeast"/>
              <w:jc w:val="left"/>
              <w:rPr>
                <w:rFonts w:ascii="宋体" w:eastAsia="宋体" w:hAnsi="宋体" w:cs="宋体"/>
                <w:color w:val="4B4B4B"/>
                <w:kern w:val="0"/>
                <w:szCs w:val="21"/>
              </w:rPr>
            </w:pPr>
          </w:p>
        </w:tc>
        <w:tc>
          <w:tcPr>
            <w:tcW w:w="500" w:type="pct"/>
            <w:hideMark/>
          </w:tcPr>
          <w:p w:rsidR="00D745AF" w:rsidRPr="00D745AF" w:rsidRDefault="00D745AF" w:rsidP="00D745AF">
            <w:pPr>
              <w:widowControl/>
              <w:spacing w:line="375" w:lineRule="atLeast"/>
              <w:jc w:val="left"/>
              <w:rPr>
                <w:rFonts w:ascii="宋体" w:eastAsia="宋体" w:hAnsi="宋体" w:cs="宋体"/>
                <w:b/>
                <w:bCs/>
                <w:color w:val="4B4B4B"/>
                <w:kern w:val="0"/>
                <w:szCs w:val="21"/>
              </w:rPr>
            </w:pPr>
          </w:p>
        </w:tc>
        <w:tc>
          <w:tcPr>
            <w:tcW w:w="1050" w:type="pct"/>
            <w:hideMark/>
          </w:tcPr>
          <w:p w:rsidR="00D745AF" w:rsidRPr="00D745AF" w:rsidRDefault="00D745AF" w:rsidP="00D745AF">
            <w:pPr>
              <w:widowControl/>
              <w:spacing w:line="375" w:lineRule="atLeast"/>
              <w:jc w:val="left"/>
              <w:rPr>
                <w:rFonts w:ascii="宋体" w:eastAsia="宋体" w:hAnsi="宋体" w:cs="宋体"/>
                <w:color w:val="4B4B4B"/>
                <w:kern w:val="0"/>
                <w:szCs w:val="21"/>
              </w:rPr>
            </w:pPr>
          </w:p>
        </w:tc>
        <w:tc>
          <w:tcPr>
            <w:tcW w:w="500" w:type="pct"/>
            <w:hideMark/>
          </w:tcPr>
          <w:p w:rsidR="00D745AF" w:rsidRPr="00D745AF" w:rsidRDefault="00D745AF" w:rsidP="00D745AF">
            <w:pPr>
              <w:widowControl/>
              <w:spacing w:line="375" w:lineRule="atLeast"/>
              <w:jc w:val="left"/>
              <w:rPr>
                <w:rFonts w:ascii="宋体" w:eastAsia="宋体" w:hAnsi="宋体" w:cs="宋体"/>
                <w:b/>
                <w:bCs/>
                <w:color w:val="4B4B4B"/>
                <w:kern w:val="0"/>
                <w:szCs w:val="21"/>
              </w:rPr>
            </w:pPr>
          </w:p>
        </w:tc>
        <w:tc>
          <w:tcPr>
            <w:tcW w:w="1450" w:type="pct"/>
            <w:hideMark/>
          </w:tcPr>
          <w:p w:rsidR="00D745AF" w:rsidRPr="00D745AF" w:rsidRDefault="00D745AF" w:rsidP="00D745AF">
            <w:pPr>
              <w:widowControl/>
              <w:spacing w:line="375" w:lineRule="atLeast"/>
              <w:jc w:val="left"/>
              <w:rPr>
                <w:rFonts w:ascii="宋体" w:eastAsia="宋体" w:hAnsi="宋体" w:cs="宋体"/>
                <w:color w:val="4B4B4B"/>
                <w:kern w:val="0"/>
                <w:szCs w:val="21"/>
              </w:rPr>
            </w:pPr>
          </w:p>
        </w:tc>
      </w:tr>
      <w:tr w:rsidR="00D745AF" w:rsidRPr="00D745AF" w:rsidTr="00D745AF">
        <w:trPr>
          <w:tblCellSpacing w:w="0" w:type="dxa"/>
        </w:trPr>
        <w:tc>
          <w:tcPr>
            <w:tcW w:w="500" w:type="pct"/>
            <w:hideMark/>
          </w:tcPr>
          <w:p w:rsidR="00D745AF" w:rsidRPr="00D745AF" w:rsidRDefault="00D745AF" w:rsidP="00D745AF">
            <w:pPr>
              <w:widowControl/>
              <w:spacing w:line="375" w:lineRule="atLeast"/>
              <w:jc w:val="left"/>
              <w:rPr>
                <w:rFonts w:ascii="宋体" w:eastAsia="宋体" w:hAnsi="宋体" w:cs="宋体"/>
                <w:b/>
                <w:bCs/>
                <w:color w:val="4B4B4B"/>
                <w:kern w:val="0"/>
                <w:szCs w:val="21"/>
              </w:rPr>
            </w:pPr>
          </w:p>
        </w:tc>
        <w:tc>
          <w:tcPr>
            <w:tcW w:w="0" w:type="auto"/>
            <w:hideMark/>
          </w:tcPr>
          <w:p w:rsidR="00D745AF" w:rsidRPr="00D745AF" w:rsidRDefault="00D745AF" w:rsidP="00D745AF">
            <w:pPr>
              <w:widowControl/>
              <w:spacing w:line="375" w:lineRule="atLeast"/>
              <w:jc w:val="left"/>
              <w:rPr>
                <w:rFonts w:ascii="宋体" w:eastAsia="宋体" w:hAnsi="宋体" w:cs="宋体"/>
                <w:color w:val="4B4B4B"/>
                <w:kern w:val="0"/>
                <w:szCs w:val="21"/>
              </w:rPr>
            </w:pPr>
          </w:p>
        </w:tc>
        <w:tc>
          <w:tcPr>
            <w:tcW w:w="500" w:type="pct"/>
            <w:hideMark/>
          </w:tcPr>
          <w:p w:rsidR="00D745AF" w:rsidRPr="00D745AF" w:rsidRDefault="00D745AF" w:rsidP="00D745AF">
            <w:pPr>
              <w:widowControl/>
              <w:spacing w:line="375" w:lineRule="atLeast"/>
              <w:jc w:val="left"/>
              <w:rPr>
                <w:rFonts w:ascii="宋体" w:eastAsia="宋体" w:hAnsi="宋体" w:cs="宋体"/>
                <w:b/>
                <w:bCs/>
                <w:color w:val="4B4B4B"/>
                <w:kern w:val="0"/>
                <w:szCs w:val="21"/>
              </w:rPr>
            </w:pPr>
          </w:p>
        </w:tc>
        <w:tc>
          <w:tcPr>
            <w:tcW w:w="0" w:type="auto"/>
            <w:gridSpan w:val="3"/>
            <w:hideMark/>
          </w:tcPr>
          <w:p w:rsidR="00D745AF" w:rsidRPr="00D745AF" w:rsidRDefault="00D745AF" w:rsidP="00D745AF">
            <w:pPr>
              <w:widowControl/>
              <w:spacing w:line="375" w:lineRule="atLeast"/>
              <w:jc w:val="left"/>
              <w:rPr>
                <w:rFonts w:ascii="宋体" w:eastAsia="宋体" w:hAnsi="宋体" w:cs="宋体"/>
                <w:color w:val="4B4B4B"/>
                <w:kern w:val="0"/>
                <w:szCs w:val="21"/>
              </w:rPr>
            </w:pPr>
          </w:p>
        </w:tc>
      </w:tr>
      <w:tr w:rsidR="00D745AF" w:rsidRPr="00D745AF" w:rsidTr="00D745AF">
        <w:trPr>
          <w:tblCellSpacing w:w="0" w:type="dxa"/>
        </w:trPr>
        <w:tc>
          <w:tcPr>
            <w:tcW w:w="500" w:type="pct"/>
            <w:hideMark/>
          </w:tcPr>
          <w:p w:rsidR="00D745AF" w:rsidRPr="00D745AF" w:rsidRDefault="00D745AF" w:rsidP="00D745AF">
            <w:pPr>
              <w:widowControl/>
              <w:spacing w:line="375" w:lineRule="atLeast"/>
              <w:jc w:val="left"/>
              <w:rPr>
                <w:rFonts w:ascii="宋体" w:eastAsia="宋体" w:hAnsi="宋体" w:cs="宋体"/>
                <w:b/>
                <w:bCs/>
                <w:color w:val="4B4B4B"/>
                <w:kern w:val="0"/>
                <w:szCs w:val="21"/>
              </w:rPr>
            </w:pPr>
          </w:p>
        </w:tc>
        <w:tc>
          <w:tcPr>
            <w:tcW w:w="0" w:type="auto"/>
            <w:gridSpan w:val="5"/>
            <w:hideMark/>
          </w:tcPr>
          <w:p w:rsidR="00D745AF" w:rsidRPr="00D745AF" w:rsidRDefault="00D745AF" w:rsidP="00D745AF">
            <w:pPr>
              <w:widowControl/>
              <w:spacing w:line="375" w:lineRule="atLeast"/>
              <w:jc w:val="left"/>
              <w:rPr>
                <w:rFonts w:ascii="宋体" w:eastAsia="宋体" w:hAnsi="宋体" w:cs="宋体"/>
                <w:color w:val="4B4B4B"/>
                <w:kern w:val="0"/>
                <w:szCs w:val="21"/>
              </w:rPr>
            </w:pPr>
          </w:p>
        </w:tc>
      </w:tr>
    </w:tbl>
    <w:p w:rsidR="00D745AF" w:rsidRPr="00D745AF" w:rsidRDefault="00D745AF" w:rsidP="00D745AF">
      <w:pPr>
        <w:widowControl/>
        <w:shd w:val="clear" w:color="auto" w:fill="FFFFFF"/>
        <w:jc w:val="center"/>
        <w:rPr>
          <w:rFonts w:ascii="宋体" w:eastAsia="宋体" w:hAnsi="宋体" w:cs="宋体"/>
          <w:vanish/>
          <w:kern w:val="0"/>
          <w:sz w:val="30"/>
          <w:szCs w:val="30"/>
        </w:rPr>
      </w:pPr>
      <w:r w:rsidRPr="00D745AF">
        <w:rPr>
          <w:rFonts w:ascii="微软雅黑" w:eastAsia="微软雅黑" w:hAnsi="微软雅黑" w:hint="eastAsia"/>
          <w:b/>
          <w:bCs/>
          <w:color w:val="4B4B4B"/>
          <w:kern w:val="36"/>
          <w:sz w:val="30"/>
          <w:szCs w:val="30"/>
        </w:rPr>
        <w:t>教育部关于加快建设高水平本科教育</w:t>
      </w:r>
      <w:r w:rsidRPr="00D745AF">
        <w:rPr>
          <w:rFonts w:ascii="微软雅黑" w:eastAsia="微软雅黑" w:hAnsi="微软雅黑" w:hint="eastAsia"/>
          <w:b/>
          <w:bCs/>
          <w:color w:val="4B4B4B"/>
          <w:kern w:val="36"/>
          <w:sz w:val="30"/>
          <w:szCs w:val="30"/>
        </w:rPr>
        <w:br/>
        <w:t>全面提高人才培养能力的意见</w:t>
      </w:r>
      <w:r w:rsidRPr="00D745AF">
        <w:rPr>
          <w:rFonts w:ascii="宋体" w:eastAsia="宋体" w:hAnsi="宋体" w:cs="宋体"/>
          <w:vanish/>
          <w:kern w:val="0"/>
          <w:sz w:val="30"/>
          <w:szCs w:val="30"/>
        </w:rPr>
        <w:t>信息公开_部文</w:t>
      </w:r>
    </w:p>
    <w:p w:rsidR="00D745AF" w:rsidRPr="00D745AF" w:rsidRDefault="00D745AF" w:rsidP="00D745A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30"/>
          <w:szCs w:val="30"/>
        </w:rPr>
      </w:pP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745AF">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b/>
          <w:bCs/>
          <w:color w:val="4B4B4B"/>
          <w:kern w:val="0"/>
          <w:sz w:val="24"/>
          <w:szCs w:val="24"/>
        </w:rPr>
        <w:t xml:space="preserve">一、建设高水平本科教育的重要意义和形势要求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1.</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lastRenderedPageBreak/>
        <w:t xml:space="preserve">　　2.</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二、建设高水平本科教育的指导思想和目标原则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4.</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总体目标。经过5年的努力，“四个回归”全面落实，初步形成高水平的人才培养体系，建成一批立德树人标杆学校，建设一批一流本科专业点，引领</w:t>
      </w:r>
      <w:r w:rsidRPr="00D745AF">
        <w:rPr>
          <w:rFonts w:ascii="微软雅黑" w:eastAsia="微软雅黑" w:hAnsi="微软雅黑" w:cs="宋体" w:hint="eastAsia"/>
          <w:color w:val="4B4B4B"/>
          <w:kern w:val="0"/>
          <w:sz w:val="24"/>
          <w:szCs w:val="24"/>
        </w:rPr>
        <w:lastRenderedPageBreak/>
        <w:t>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5.</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基本原则。</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坚持学生中心，全面发展。以促进学生全面发展为中心，既注重“教得好”，更注重“学得好”，激发学生学习兴趣和潜能，激励学生爱国、励志、求真、力行，增强学生的社会责任感、创新精神和实践能力。</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lastRenderedPageBreak/>
        <w:t xml:space="preserve">　　——坚持分类指导，特色发展。推动高校分类发展，引导各类高校发挥办学优势，在不同领域各展所长，建设优势特色专业，提高创新型、复合型、应用型人才培养质量，形成全局性改革成果。</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三、把思想政治教育贯穿高水平本科教育全过程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6.</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7.</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8.</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lastRenderedPageBreak/>
        <w:t xml:space="preserve">　　9.</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四、围绕激发学生学习兴趣和潜能深化教学改革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10.</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11.</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lastRenderedPageBreak/>
        <w:t xml:space="preserve">　　12.</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13.</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14.</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lastRenderedPageBreak/>
        <w:t xml:space="preserve">　　15.</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五、全面提高教师教书育人能力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16.</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17.</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lastRenderedPageBreak/>
        <w:t xml:space="preserve">　　18.</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19.</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六、大力推进一流专业建设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20.</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lastRenderedPageBreak/>
        <w:t xml:space="preserve">　　21.</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22.</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23.</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七、推进现代信息技术与教育教学深度融合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24.</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w:t>
      </w:r>
      <w:r w:rsidRPr="00D745AF">
        <w:rPr>
          <w:rFonts w:ascii="微软雅黑" w:eastAsia="微软雅黑" w:hAnsi="微软雅黑" w:cs="宋体" w:hint="eastAsia"/>
          <w:color w:val="4B4B4B"/>
          <w:kern w:val="0"/>
          <w:sz w:val="24"/>
          <w:szCs w:val="24"/>
        </w:rPr>
        <w:lastRenderedPageBreak/>
        <w:t>性化的教育，推动形成“互联网+高等教育”新形态，以现代信息技术推动高等教育质量提升的“变轨超车”。</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25.</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26.</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八、构建全方位全过程深融合的协同育人新机制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27.</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28.</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加强实践育人平台建设。综合运用校内外资源，建设满足实践教学需要的实验实习实训平台。加强校内实验教学资源建设，构建功能集约、资源共享、</w:t>
      </w:r>
      <w:r w:rsidRPr="00D745AF">
        <w:rPr>
          <w:rFonts w:ascii="微软雅黑" w:eastAsia="微软雅黑" w:hAnsi="微软雅黑" w:cs="宋体" w:hint="eastAsia"/>
          <w:color w:val="4B4B4B"/>
          <w:kern w:val="0"/>
          <w:sz w:val="24"/>
          <w:szCs w:val="24"/>
        </w:rPr>
        <w:lastRenderedPageBreak/>
        <w:t>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29.</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30.</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31.</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w:t>
      </w:r>
      <w:r w:rsidRPr="00D745AF">
        <w:rPr>
          <w:rFonts w:ascii="微软雅黑" w:eastAsia="微软雅黑" w:hAnsi="微软雅黑" w:cs="宋体" w:hint="eastAsia"/>
          <w:color w:val="4B4B4B"/>
          <w:kern w:val="0"/>
          <w:sz w:val="24"/>
          <w:szCs w:val="24"/>
        </w:rPr>
        <w:lastRenderedPageBreak/>
        <w:t>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九、加强大学质量文化建设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32.</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33.</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34.</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w:t>
      </w:r>
      <w:r w:rsidRPr="00D745AF">
        <w:rPr>
          <w:rFonts w:ascii="微软雅黑" w:eastAsia="微软雅黑" w:hAnsi="微软雅黑" w:cs="宋体" w:hint="eastAsia"/>
          <w:color w:val="4B4B4B"/>
          <w:kern w:val="0"/>
          <w:sz w:val="24"/>
          <w:szCs w:val="24"/>
        </w:rPr>
        <w:lastRenderedPageBreak/>
        <w:t>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35.</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b/>
          <w:bCs/>
          <w:color w:val="4B4B4B"/>
          <w:kern w:val="0"/>
          <w:sz w:val="24"/>
          <w:szCs w:val="24"/>
        </w:rPr>
        <w:t xml:space="preserve">　　十、切实做好高水平本科教育建设工作的组织实施 </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36.</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37.</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强化高校主体责任。各高校要把建设高水平本科教育作为新时代学校建设改革发展的重点任务，结合本校实际，制定实施方案，明确建设目标、重点内容和保障措施。高校党委会、常委会和校长办公会要定期研究，书记校长及分管</w:t>
      </w:r>
      <w:r w:rsidRPr="00D745AF">
        <w:rPr>
          <w:rFonts w:ascii="微软雅黑" w:eastAsia="微软雅黑" w:hAnsi="微软雅黑" w:cs="宋体" w:hint="eastAsia"/>
          <w:color w:val="4B4B4B"/>
          <w:kern w:val="0"/>
          <w:sz w:val="24"/>
          <w:szCs w:val="24"/>
        </w:rPr>
        <w:lastRenderedPageBreak/>
        <w:t>负责人要经常性研究本科教育工作，相关部门和院系负责人要切实担起责任，具体负责组织实施，确保达到预期成效。</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38.</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39.</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rsidR="00D745AF" w:rsidRPr="00D745AF" w:rsidRDefault="00D745AF" w:rsidP="00D745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 xml:space="preserve">　　40.</w:t>
      </w:r>
      <w:r>
        <w:rPr>
          <w:rFonts w:ascii="微软雅黑" w:eastAsia="微软雅黑" w:hAnsi="微软雅黑" w:cs="宋体" w:hint="eastAsia"/>
          <w:color w:val="4B4B4B"/>
          <w:kern w:val="0"/>
          <w:sz w:val="24"/>
          <w:szCs w:val="24"/>
        </w:rPr>
        <w:t xml:space="preserve"> </w:t>
      </w:r>
      <w:r w:rsidRPr="00D745AF">
        <w:rPr>
          <w:rFonts w:ascii="微软雅黑" w:eastAsia="微软雅黑" w:hAnsi="微软雅黑" w:cs="宋体" w:hint="eastAsia"/>
          <w:color w:val="4B4B4B"/>
          <w:kern w:val="0"/>
          <w:sz w:val="24"/>
          <w:szCs w:val="24"/>
        </w:rPr>
        <w:t>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D745AF" w:rsidRPr="00D745AF" w:rsidRDefault="00D745AF" w:rsidP="00D745A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745AF">
        <w:rPr>
          <w:rFonts w:ascii="微软雅黑" w:eastAsia="微软雅黑" w:hAnsi="微软雅黑" w:cs="宋体" w:hint="eastAsia"/>
          <w:color w:val="4B4B4B"/>
          <w:kern w:val="0"/>
          <w:sz w:val="24"/>
          <w:szCs w:val="24"/>
        </w:rPr>
        <w:t>教育部</w:t>
      </w:r>
    </w:p>
    <w:p w:rsidR="00A96802" w:rsidRPr="00D745AF" w:rsidRDefault="00D745AF" w:rsidP="00D745AF">
      <w:pPr>
        <w:jc w:val="right"/>
        <w:rPr>
          <w:rFonts w:ascii="微软雅黑" w:eastAsia="微软雅黑" w:hAnsi="微软雅黑" w:hint="eastAsia"/>
          <w:sz w:val="24"/>
          <w:szCs w:val="24"/>
        </w:rPr>
      </w:pPr>
      <w:r w:rsidRPr="00D745AF">
        <w:rPr>
          <w:rFonts w:ascii="微软雅黑" w:eastAsia="微软雅黑" w:hAnsi="微软雅黑" w:hint="eastAsia"/>
          <w:sz w:val="24"/>
          <w:szCs w:val="24"/>
        </w:rPr>
        <w:lastRenderedPageBreak/>
        <w:t>2018年9月17日</w:t>
      </w:r>
    </w:p>
    <w:sectPr w:rsidR="00A96802" w:rsidRPr="00D745AF" w:rsidSect="00A96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EA8" w:rsidRDefault="003F0EA8" w:rsidP="00D745AF">
      <w:r>
        <w:separator/>
      </w:r>
    </w:p>
  </w:endnote>
  <w:endnote w:type="continuationSeparator" w:id="0">
    <w:p w:rsidR="003F0EA8" w:rsidRDefault="003F0EA8" w:rsidP="00D745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EA8" w:rsidRDefault="003F0EA8" w:rsidP="00D745AF">
      <w:r>
        <w:separator/>
      </w:r>
    </w:p>
  </w:footnote>
  <w:footnote w:type="continuationSeparator" w:id="0">
    <w:p w:rsidR="003F0EA8" w:rsidRDefault="003F0EA8" w:rsidP="00D74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5AF"/>
    <w:rsid w:val="003F0EA8"/>
    <w:rsid w:val="00A96802"/>
    <w:rsid w:val="00D74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0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45AF"/>
    <w:rPr>
      <w:sz w:val="18"/>
      <w:szCs w:val="18"/>
    </w:rPr>
  </w:style>
  <w:style w:type="paragraph" w:styleId="a4">
    <w:name w:val="footer"/>
    <w:basedOn w:val="a"/>
    <w:link w:val="Char0"/>
    <w:uiPriority w:val="99"/>
    <w:semiHidden/>
    <w:unhideWhenUsed/>
    <w:rsid w:val="00D745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45AF"/>
    <w:rPr>
      <w:sz w:val="18"/>
      <w:szCs w:val="18"/>
    </w:rPr>
  </w:style>
  <w:style w:type="character" w:styleId="a5">
    <w:name w:val="Strong"/>
    <w:basedOn w:val="a0"/>
    <w:uiPriority w:val="22"/>
    <w:qFormat/>
    <w:rsid w:val="00D745AF"/>
    <w:rPr>
      <w:b/>
      <w:bCs/>
    </w:rPr>
  </w:style>
</w:styles>
</file>

<file path=word/webSettings.xml><?xml version="1.0" encoding="utf-8"?>
<w:webSettings xmlns:r="http://schemas.openxmlformats.org/officeDocument/2006/relationships" xmlns:w="http://schemas.openxmlformats.org/wordprocessingml/2006/main">
  <w:divs>
    <w:div w:id="272369558">
      <w:bodyDiv w:val="1"/>
      <w:marLeft w:val="0"/>
      <w:marRight w:val="0"/>
      <w:marTop w:val="0"/>
      <w:marBottom w:val="0"/>
      <w:divBdr>
        <w:top w:val="none" w:sz="0" w:space="0" w:color="auto"/>
        <w:left w:val="none" w:sz="0" w:space="0" w:color="auto"/>
        <w:bottom w:val="none" w:sz="0" w:space="0" w:color="auto"/>
        <w:right w:val="none" w:sz="0" w:space="0" w:color="auto"/>
      </w:divBdr>
      <w:divsChild>
        <w:div w:id="1811363657">
          <w:marLeft w:val="0"/>
          <w:marRight w:val="0"/>
          <w:marTop w:val="0"/>
          <w:marBottom w:val="0"/>
          <w:divBdr>
            <w:top w:val="none" w:sz="0" w:space="0" w:color="auto"/>
            <w:left w:val="none" w:sz="0" w:space="0" w:color="auto"/>
            <w:bottom w:val="none" w:sz="0" w:space="0" w:color="auto"/>
            <w:right w:val="none" w:sz="0" w:space="0" w:color="auto"/>
          </w:divBdr>
          <w:divsChild>
            <w:div w:id="369916582">
              <w:marLeft w:val="0"/>
              <w:marRight w:val="0"/>
              <w:marTop w:val="0"/>
              <w:marBottom w:val="0"/>
              <w:divBdr>
                <w:top w:val="single" w:sz="6" w:space="31" w:color="BCBCBC"/>
                <w:left w:val="single" w:sz="6" w:space="31" w:color="BCBCBC"/>
                <w:bottom w:val="single" w:sz="6" w:space="15" w:color="BCBCBC"/>
                <w:right w:val="single" w:sz="6" w:space="31" w:color="BCBCBC"/>
              </w:divBdr>
              <w:divsChild>
                <w:div w:id="2010017443">
                  <w:marLeft w:val="0"/>
                  <w:marRight w:val="0"/>
                  <w:marTop w:val="0"/>
                  <w:marBottom w:val="0"/>
                  <w:divBdr>
                    <w:top w:val="none" w:sz="0" w:space="0" w:color="auto"/>
                    <w:left w:val="none" w:sz="0" w:space="0" w:color="auto"/>
                    <w:bottom w:val="none" w:sz="0" w:space="0" w:color="auto"/>
                    <w:right w:val="none" w:sz="0" w:space="0" w:color="auto"/>
                  </w:divBdr>
                  <w:divsChild>
                    <w:div w:id="20364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94464">
      <w:bodyDiv w:val="1"/>
      <w:marLeft w:val="0"/>
      <w:marRight w:val="0"/>
      <w:marTop w:val="0"/>
      <w:marBottom w:val="0"/>
      <w:divBdr>
        <w:top w:val="none" w:sz="0" w:space="0" w:color="auto"/>
        <w:left w:val="none" w:sz="0" w:space="0" w:color="auto"/>
        <w:bottom w:val="none" w:sz="0" w:space="0" w:color="auto"/>
        <w:right w:val="none" w:sz="0" w:space="0" w:color="auto"/>
      </w:divBdr>
      <w:divsChild>
        <w:div w:id="268006394">
          <w:marLeft w:val="0"/>
          <w:marRight w:val="0"/>
          <w:marTop w:val="0"/>
          <w:marBottom w:val="0"/>
          <w:divBdr>
            <w:top w:val="none" w:sz="0" w:space="0" w:color="auto"/>
            <w:left w:val="none" w:sz="0" w:space="0" w:color="auto"/>
            <w:bottom w:val="none" w:sz="0" w:space="0" w:color="auto"/>
            <w:right w:val="none" w:sz="0" w:space="0" w:color="auto"/>
          </w:divBdr>
          <w:divsChild>
            <w:div w:id="975060857">
              <w:marLeft w:val="0"/>
              <w:marRight w:val="0"/>
              <w:marTop w:val="0"/>
              <w:marBottom w:val="0"/>
              <w:divBdr>
                <w:top w:val="single" w:sz="6" w:space="31" w:color="BCBCBC"/>
                <w:left w:val="single" w:sz="6" w:space="31" w:color="BCBCBC"/>
                <w:bottom w:val="single" w:sz="6" w:space="15" w:color="BCBCBC"/>
                <w:right w:val="single" w:sz="6" w:space="31" w:color="BCBCBC"/>
              </w:divBdr>
              <w:divsChild>
                <w:div w:id="1396856809">
                  <w:marLeft w:val="0"/>
                  <w:marRight w:val="0"/>
                  <w:marTop w:val="0"/>
                  <w:marBottom w:val="0"/>
                  <w:divBdr>
                    <w:top w:val="none" w:sz="0" w:space="0" w:color="auto"/>
                    <w:left w:val="none" w:sz="0" w:space="0" w:color="auto"/>
                    <w:bottom w:val="none" w:sz="0" w:space="0" w:color="auto"/>
                    <w:right w:val="none" w:sz="0" w:space="0" w:color="auto"/>
                  </w:divBdr>
                  <w:divsChild>
                    <w:div w:id="424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431">
      <w:bodyDiv w:val="1"/>
      <w:marLeft w:val="0"/>
      <w:marRight w:val="0"/>
      <w:marTop w:val="0"/>
      <w:marBottom w:val="0"/>
      <w:divBdr>
        <w:top w:val="none" w:sz="0" w:space="0" w:color="auto"/>
        <w:left w:val="none" w:sz="0" w:space="0" w:color="auto"/>
        <w:bottom w:val="none" w:sz="0" w:space="0" w:color="auto"/>
        <w:right w:val="none" w:sz="0" w:space="0" w:color="auto"/>
      </w:divBdr>
      <w:divsChild>
        <w:div w:id="1507012681">
          <w:marLeft w:val="0"/>
          <w:marRight w:val="0"/>
          <w:marTop w:val="0"/>
          <w:marBottom w:val="0"/>
          <w:divBdr>
            <w:top w:val="none" w:sz="0" w:space="0" w:color="auto"/>
            <w:left w:val="none" w:sz="0" w:space="0" w:color="auto"/>
            <w:bottom w:val="none" w:sz="0" w:space="0" w:color="auto"/>
            <w:right w:val="none" w:sz="0" w:space="0" w:color="auto"/>
          </w:divBdr>
          <w:divsChild>
            <w:div w:id="765880413">
              <w:marLeft w:val="0"/>
              <w:marRight w:val="0"/>
              <w:marTop w:val="0"/>
              <w:marBottom w:val="0"/>
              <w:divBdr>
                <w:top w:val="single" w:sz="6" w:space="31" w:color="BCBCBC"/>
                <w:left w:val="single" w:sz="6" w:space="31" w:color="BCBCBC"/>
                <w:bottom w:val="single" w:sz="6" w:space="15" w:color="BCBCBC"/>
                <w:right w:val="single" w:sz="6" w:space="31" w:color="BCBCBC"/>
              </w:divBdr>
              <w:divsChild>
                <w:div w:id="18249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513">
      <w:bodyDiv w:val="1"/>
      <w:marLeft w:val="0"/>
      <w:marRight w:val="0"/>
      <w:marTop w:val="0"/>
      <w:marBottom w:val="0"/>
      <w:divBdr>
        <w:top w:val="none" w:sz="0" w:space="0" w:color="auto"/>
        <w:left w:val="none" w:sz="0" w:space="0" w:color="auto"/>
        <w:bottom w:val="none" w:sz="0" w:space="0" w:color="auto"/>
        <w:right w:val="none" w:sz="0" w:space="0" w:color="auto"/>
      </w:divBdr>
      <w:divsChild>
        <w:div w:id="1370763854">
          <w:marLeft w:val="0"/>
          <w:marRight w:val="0"/>
          <w:marTop w:val="0"/>
          <w:marBottom w:val="0"/>
          <w:divBdr>
            <w:top w:val="none" w:sz="0" w:space="0" w:color="auto"/>
            <w:left w:val="none" w:sz="0" w:space="0" w:color="auto"/>
            <w:bottom w:val="none" w:sz="0" w:space="0" w:color="auto"/>
            <w:right w:val="none" w:sz="0" w:space="0" w:color="auto"/>
          </w:divBdr>
          <w:divsChild>
            <w:div w:id="670522063">
              <w:marLeft w:val="0"/>
              <w:marRight w:val="0"/>
              <w:marTop w:val="0"/>
              <w:marBottom w:val="0"/>
              <w:divBdr>
                <w:top w:val="single" w:sz="6" w:space="31" w:color="BCBCBC"/>
                <w:left w:val="single" w:sz="6" w:space="31" w:color="BCBCBC"/>
                <w:bottom w:val="single" w:sz="6" w:space="15" w:color="BCBCBC"/>
                <w:right w:val="single" w:sz="6" w:space="31" w:color="BCBCBC"/>
              </w:divBdr>
              <w:divsChild>
                <w:div w:id="460927751">
                  <w:marLeft w:val="0"/>
                  <w:marRight w:val="0"/>
                  <w:marTop w:val="0"/>
                  <w:marBottom w:val="0"/>
                  <w:divBdr>
                    <w:top w:val="none" w:sz="0" w:space="0" w:color="auto"/>
                    <w:left w:val="none" w:sz="0" w:space="0" w:color="auto"/>
                    <w:bottom w:val="none" w:sz="0" w:space="0" w:color="auto"/>
                    <w:right w:val="none" w:sz="0" w:space="0" w:color="auto"/>
                  </w:divBdr>
                  <w:divsChild>
                    <w:div w:id="11050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2018-10-22T07:19:00Z</dcterms:created>
  <dcterms:modified xsi:type="dcterms:W3CDTF">2018-10-22T07:25:00Z</dcterms:modified>
</cp:coreProperties>
</file>