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1C" w:rsidRPr="00BD5A66" w:rsidRDefault="00470A1C" w:rsidP="00470A1C">
      <w:pPr>
        <w:spacing w:line="0" w:lineRule="atLeast"/>
        <w:jc w:val="center"/>
        <w:rPr>
          <w:rFonts w:ascii="宋体" w:hAnsi="宋体"/>
          <w:kern w:val="20"/>
          <w:sz w:val="72"/>
          <w:szCs w:val="72"/>
        </w:rPr>
      </w:pPr>
      <w:r w:rsidRPr="00BD5A66">
        <w:rPr>
          <w:rFonts w:ascii="宋体" w:hAnsi="宋体" w:hint="eastAsia"/>
          <w:color w:val="FF0000"/>
          <w:kern w:val="20"/>
          <w:sz w:val="72"/>
          <w:szCs w:val="72"/>
        </w:rPr>
        <w:t>发展规划参考</w:t>
      </w:r>
    </w:p>
    <w:p w:rsidR="00470A1C" w:rsidRPr="00351258" w:rsidRDefault="00470A1C" w:rsidP="00470A1C">
      <w:pPr>
        <w:spacing w:line="0" w:lineRule="atLeast"/>
        <w:rPr>
          <w:rFonts w:ascii="宋体" w:hAnsi="宋体"/>
          <w:kern w:val="20"/>
          <w:sz w:val="28"/>
          <w:szCs w:val="28"/>
        </w:rPr>
      </w:pPr>
      <w:r w:rsidRPr="00351258">
        <w:rPr>
          <w:rFonts w:ascii="宋体" w:hAnsi="宋体" w:hint="eastAsia"/>
          <w:kern w:val="20"/>
          <w:sz w:val="28"/>
          <w:szCs w:val="28"/>
        </w:rPr>
        <w:t>[201</w:t>
      </w:r>
      <w:r>
        <w:rPr>
          <w:rFonts w:ascii="宋体" w:hAnsi="宋体" w:hint="eastAsia"/>
          <w:kern w:val="20"/>
          <w:sz w:val="28"/>
          <w:szCs w:val="28"/>
        </w:rPr>
        <w:t>9</w:t>
      </w:r>
      <w:r w:rsidRPr="00351258">
        <w:rPr>
          <w:rFonts w:ascii="宋体" w:hAnsi="宋体" w:hint="eastAsia"/>
          <w:kern w:val="20"/>
          <w:sz w:val="28"/>
          <w:szCs w:val="28"/>
        </w:rPr>
        <w:t>] 第</w:t>
      </w:r>
      <w:r>
        <w:rPr>
          <w:rFonts w:ascii="宋体" w:hAnsi="宋体" w:hint="eastAsia"/>
          <w:kern w:val="20"/>
          <w:sz w:val="28"/>
          <w:szCs w:val="28"/>
        </w:rPr>
        <w:t>3</w:t>
      </w:r>
      <w:r w:rsidRPr="00351258">
        <w:rPr>
          <w:rFonts w:ascii="宋体" w:hAnsi="宋体" w:hint="eastAsia"/>
          <w:kern w:val="20"/>
          <w:sz w:val="28"/>
          <w:szCs w:val="28"/>
        </w:rPr>
        <w:t>期（总第</w:t>
      </w:r>
      <w:r>
        <w:rPr>
          <w:rFonts w:ascii="宋体" w:hAnsi="宋体" w:hint="eastAsia"/>
          <w:kern w:val="20"/>
          <w:sz w:val="28"/>
          <w:szCs w:val="28"/>
        </w:rPr>
        <w:t>44</w:t>
      </w:r>
      <w:r w:rsidRPr="00351258">
        <w:rPr>
          <w:rFonts w:ascii="宋体" w:hAnsi="宋体" w:hint="eastAsia"/>
          <w:kern w:val="20"/>
          <w:sz w:val="28"/>
          <w:szCs w:val="28"/>
        </w:rPr>
        <w:t>期）      郑州师范学院发展规划处</w:t>
      </w:r>
      <w:r>
        <w:rPr>
          <w:rFonts w:ascii="宋体" w:hAnsi="宋体" w:hint="eastAsia"/>
          <w:kern w:val="20"/>
          <w:sz w:val="28"/>
          <w:szCs w:val="28"/>
        </w:rPr>
        <w:t xml:space="preserve">  主</w:t>
      </w:r>
      <w:r w:rsidRPr="00351258">
        <w:rPr>
          <w:rFonts w:ascii="宋体" w:hAnsi="宋体" w:hint="eastAsia"/>
          <w:kern w:val="20"/>
          <w:sz w:val="28"/>
          <w:szCs w:val="28"/>
        </w:rPr>
        <w:t>编</w:t>
      </w:r>
    </w:p>
    <w:p w:rsidR="00470A1C" w:rsidRDefault="00470A1C" w:rsidP="00470A1C">
      <w:pPr>
        <w:spacing w:line="0" w:lineRule="atLeast"/>
        <w:ind w:leftChars="-1" w:left="-1" w:rightChars="-159" w:right="-334" w:hanging="1"/>
        <w:rPr>
          <w:rFonts w:ascii="仿宋_GB2312" w:eastAsia="仿宋_GB2312"/>
          <w:b/>
          <w:color w:val="FF0000"/>
          <w:kern w:val="20"/>
          <w:sz w:val="28"/>
          <w:szCs w:val="28"/>
          <w:u w:val="thick" w:color="FF0000"/>
        </w:rPr>
      </w:pPr>
      <w:r>
        <w:rPr>
          <w:rFonts w:ascii="仿宋_GB2312" w:eastAsia="仿宋_GB2312" w:hint="eastAsia"/>
          <w:b/>
          <w:color w:val="FF0000"/>
          <w:kern w:val="20"/>
          <w:sz w:val="28"/>
          <w:szCs w:val="28"/>
          <w:u w:val="thick" w:color="FF0000"/>
        </w:rPr>
        <w:t xml:space="preserve"> </w:t>
      </w:r>
      <w:r w:rsidRPr="00486A69">
        <w:rPr>
          <w:rFonts w:ascii="仿宋_GB2312" w:eastAsia="仿宋_GB2312" w:hint="eastAsia"/>
          <w:b/>
          <w:color w:val="FF0000"/>
          <w:kern w:val="20"/>
          <w:sz w:val="28"/>
          <w:szCs w:val="28"/>
          <w:u w:val="thick" w:color="FF0000"/>
        </w:rPr>
        <w:t xml:space="preserve">                                   </w:t>
      </w:r>
      <w:r>
        <w:rPr>
          <w:rFonts w:ascii="仿宋_GB2312" w:eastAsia="仿宋_GB2312" w:hint="eastAsia"/>
          <w:b/>
          <w:color w:val="FF0000"/>
          <w:kern w:val="20"/>
          <w:sz w:val="28"/>
          <w:szCs w:val="28"/>
          <w:u w:val="thick" w:color="FF0000"/>
        </w:rPr>
        <w:t xml:space="preserve">                       </w:t>
      </w:r>
    </w:p>
    <w:p w:rsidR="00470A1C" w:rsidRPr="00470A1C" w:rsidRDefault="00470A1C" w:rsidP="00470A1C">
      <w:pPr>
        <w:spacing w:line="480" w:lineRule="auto"/>
        <w:jc w:val="center"/>
        <w:rPr>
          <w:rFonts w:ascii="宋体" w:hAnsi="宋体"/>
          <w:kern w:val="20"/>
          <w:sz w:val="36"/>
          <w:szCs w:val="36"/>
        </w:rPr>
      </w:pPr>
      <w:r w:rsidRPr="00C85817">
        <w:rPr>
          <w:rFonts w:ascii="宋体" w:hAnsi="宋体" w:hint="eastAsia"/>
          <w:kern w:val="20"/>
          <w:sz w:val="36"/>
          <w:szCs w:val="36"/>
        </w:rPr>
        <w:t>目  录</w:t>
      </w:r>
    </w:p>
    <w:p w:rsidR="008C4CDB" w:rsidRDefault="008C4CDB" w:rsidP="00730360">
      <w:pPr>
        <w:pStyle w:val="20"/>
        <w:tabs>
          <w:tab w:val="right" w:leader="dot" w:pos="8296"/>
        </w:tabs>
        <w:spacing w:line="360" w:lineRule="auto"/>
        <w:ind w:leftChars="0" w:left="0"/>
        <w:rPr>
          <w:rStyle w:val="a6"/>
          <w:rFonts w:cs="Times New Roman"/>
          <w:b/>
          <w:noProof/>
          <w:color w:val="auto"/>
          <w:sz w:val="24"/>
          <w:szCs w:val="24"/>
          <w:u w:val="none"/>
        </w:rPr>
      </w:pPr>
      <w:r>
        <w:rPr>
          <w:rStyle w:val="a6"/>
          <w:rFonts w:cs="Times New Roman" w:hint="eastAsia"/>
          <w:b/>
          <w:noProof/>
          <w:color w:val="auto"/>
          <w:sz w:val="24"/>
          <w:szCs w:val="24"/>
          <w:u w:val="none"/>
        </w:rPr>
        <w:t>高教信息</w:t>
      </w:r>
    </w:p>
    <w:p w:rsidR="009F4B58" w:rsidRPr="009F4B58" w:rsidRDefault="001B4E8D"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sidRPr="009F4B58">
        <w:rPr>
          <w:rStyle w:val="a6"/>
          <w:rFonts w:asciiTheme="minorEastAsia" w:hAnsiTheme="minorEastAsia"/>
          <w:color w:val="auto"/>
          <w:sz w:val="24"/>
          <w:szCs w:val="24"/>
          <w:u w:val="none"/>
        </w:rPr>
        <w:fldChar w:fldCharType="begin"/>
      </w:r>
      <w:r w:rsidR="00750754" w:rsidRPr="009F4B58">
        <w:rPr>
          <w:rStyle w:val="a6"/>
          <w:rFonts w:asciiTheme="minorEastAsia" w:hAnsiTheme="minorEastAsia"/>
          <w:color w:val="auto"/>
          <w:sz w:val="24"/>
          <w:szCs w:val="24"/>
          <w:u w:val="none"/>
        </w:rPr>
        <w:instrText xml:space="preserve"> </w:instrText>
      </w:r>
      <w:r w:rsidR="00750754" w:rsidRPr="009F4B58">
        <w:rPr>
          <w:rStyle w:val="a6"/>
          <w:rFonts w:asciiTheme="minorEastAsia" w:hAnsiTheme="minorEastAsia" w:hint="eastAsia"/>
          <w:color w:val="auto"/>
          <w:sz w:val="24"/>
          <w:szCs w:val="24"/>
          <w:u w:val="none"/>
        </w:rPr>
        <w:instrText>TOC \o "1-2" \h \z \u</w:instrText>
      </w:r>
      <w:r w:rsidR="00750754" w:rsidRPr="009F4B58">
        <w:rPr>
          <w:rStyle w:val="a6"/>
          <w:rFonts w:asciiTheme="minorEastAsia" w:hAnsiTheme="minorEastAsia"/>
          <w:color w:val="auto"/>
          <w:sz w:val="24"/>
          <w:szCs w:val="24"/>
          <w:u w:val="none"/>
        </w:rPr>
        <w:instrText xml:space="preserve"> </w:instrText>
      </w:r>
      <w:r w:rsidRPr="009F4B58">
        <w:rPr>
          <w:rStyle w:val="a6"/>
          <w:rFonts w:asciiTheme="minorEastAsia" w:hAnsiTheme="minorEastAsia"/>
          <w:color w:val="auto"/>
          <w:sz w:val="24"/>
          <w:szCs w:val="24"/>
          <w:u w:val="none"/>
        </w:rPr>
        <w:fldChar w:fldCharType="separate"/>
      </w:r>
      <w:r w:rsidR="009F4B58" w:rsidRPr="009F4B58">
        <w:rPr>
          <w:rStyle w:val="a6"/>
          <w:rFonts w:asciiTheme="minorEastAsia" w:hAnsiTheme="minorEastAsia" w:hint="eastAsia"/>
          <w:color w:val="auto"/>
          <w:sz w:val="24"/>
          <w:szCs w:val="24"/>
          <w:u w:val="none"/>
        </w:rPr>
        <w:t xml:space="preserve">    </w:t>
      </w:r>
      <w:hyperlink w:anchor="_Toc12291662" w:history="1">
        <w:r w:rsidR="009F4B58" w:rsidRPr="009F4B58">
          <w:rPr>
            <w:rStyle w:val="a6"/>
            <w:rFonts w:asciiTheme="minorEastAsia" w:hAnsiTheme="minorEastAsia" w:hint="eastAsia"/>
            <w:noProof/>
            <w:color w:val="auto"/>
            <w:sz w:val="24"/>
            <w:szCs w:val="24"/>
            <w:u w:val="none"/>
          </w:rPr>
          <w:t>教育部启动职业院校教师教学创新团队建设</w:t>
        </w:r>
        <w:r w:rsidR="009F4B58" w:rsidRPr="009F4B58">
          <w:rPr>
            <w:rStyle w:val="a6"/>
            <w:rFonts w:asciiTheme="minorEastAsia" w:hAnsiTheme="minorEastAsia"/>
            <w:webHidden/>
            <w:color w:val="auto"/>
            <w:sz w:val="24"/>
            <w:szCs w:val="24"/>
            <w:u w:val="none"/>
          </w:rPr>
          <w:tab/>
        </w:r>
        <w:r w:rsidR="009F4B58" w:rsidRPr="009F4B58">
          <w:rPr>
            <w:rStyle w:val="a6"/>
            <w:rFonts w:asciiTheme="minorEastAsia" w:hAnsiTheme="minorEastAsia"/>
            <w:webHidden/>
            <w:color w:val="auto"/>
            <w:sz w:val="24"/>
            <w:szCs w:val="24"/>
            <w:u w:val="none"/>
          </w:rPr>
          <w:fldChar w:fldCharType="begin"/>
        </w:r>
        <w:r w:rsidR="009F4B58" w:rsidRPr="009F4B58">
          <w:rPr>
            <w:rStyle w:val="a6"/>
            <w:rFonts w:asciiTheme="minorEastAsia" w:hAnsiTheme="minorEastAsia"/>
            <w:webHidden/>
            <w:color w:val="auto"/>
            <w:sz w:val="24"/>
            <w:szCs w:val="24"/>
            <w:u w:val="none"/>
          </w:rPr>
          <w:instrText xml:space="preserve"> PAGEREF _Toc12291662 \h </w:instrText>
        </w:r>
        <w:r w:rsidR="009F4B58" w:rsidRPr="009F4B58">
          <w:rPr>
            <w:rStyle w:val="a6"/>
            <w:rFonts w:asciiTheme="minorEastAsia" w:hAnsiTheme="minorEastAsia"/>
            <w:webHidden/>
            <w:color w:val="auto"/>
            <w:sz w:val="24"/>
            <w:szCs w:val="24"/>
            <w:u w:val="none"/>
          </w:rPr>
        </w:r>
        <w:r w:rsidR="009F4B58" w:rsidRPr="009F4B58">
          <w:rPr>
            <w:rStyle w:val="a6"/>
            <w:rFonts w:asciiTheme="minorEastAsia" w:hAnsiTheme="minorEastAsia"/>
            <w:webHidden/>
            <w:color w:val="auto"/>
            <w:sz w:val="24"/>
            <w:szCs w:val="24"/>
            <w:u w:val="none"/>
          </w:rPr>
          <w:fldChar w:fldCharType="separate"/>
        </w:r>
        <w:r w:rsidR="009F4B58" w:rsidRPr="009F4B58">
          <w:rPr>
            <w:rStyle w:val="a6"/>
            <w:rFonts w:asciiTheme="minorEastAsia" w:hAnsiTheme="minorEastAsia"/>
            <w:webHidden/>
            <w:color w:val="auto"/>
            <w:sz w:val="24"/>
            <w:szCs w:val="24"/>
            <w:u w:val="none"/>
          </w:rPr>
          <w:t>1</w:t>
        </w:r>
        <w:r w:rsidR="009F4B58"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3" w:history="1">
        <w:r w:rsidRPr="009F4B58">
          <w:rPr>
            <w:rStyle w:val="a6"/>
            <w:rFonts w:asciiTheme="minorEastAsia" w:hAnsiTheme="minorEastAsia" w:hint="eastAsia"/>
            <w:noProof/>
            <w:color w:val="auto"/>
            <w:sz w:val="24"/>
            <w:szCs w:val="24"/>
            <w:u w:val="none"/>
          </w:rPr>
          <w:t>孙春兰上海调研</w:t>
        </w:r>
        <w:r w:rsidRPr="009F4B58">
          <w:rPr>
            <w:rStyle w:val="a6"/>
            <w:rFonts w:asciiTheme="minorEastAsia" w:hAnsiTheme="minorEastAsia"/>
            <w:noProof/>
            <w:color w:val="auto"/>
            <w:sz w:val="24"/>
            <w:szCs w:val="24"/>
            <w:u w:val="none"/>
          </w:rPr>
          <w:t xml:space="preserve"> </w:t>
        </w:r>
        <w:r w:rsidRPr="009F4B58">
          <w:rPr>
            <w:rStyle w:val="a6"/>
            <w:rFonts w:asciiTheme="minorEastAsia" w:hAnsiTheme="minorEastAsia" w:hint="eastAsia"/>
            <w:noProof/>
            <w:color w:val="auto"/>
            <w:sz w:val="24"/>
            <w:szCs w:val="24"/>
            <w:u w:val="none"/>
          </w:rPr>
          <w:t>强调加强高校创新能力开放合作</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_Toc12291663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1</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4" w:history="1">
        <w:r w:rsidRPr="009F4B58">
          <w:rPr>
            <w:rStyle w:val="a6"/>
            <w:rFonts w:asciiTheme="minorEastAsia" w:hAnsiTheme="minorEastAsia" w:hint="eastAsia"/>
            <w:noProof/>
            <w:color w:val="auto"/>
            <w:sz w:val="24"/>
            <w:szCs w:val="24"/>
            <w:u w:val="none"/>
          </w:rPr>
          <w:t>全国人大常委会启动高等教育法首次执法检查</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_Toc12291664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2</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5" w:history="1">
        <w:r w:rsidRPr="009F4B58">
          <w:rPr>
            <w:rStyle w:val="a6"/>
            <w:rFonts w:asciiTheme="minorEastAsia" w:hAnsiTheme="minorEastAsia" w:hint="eastAsia"/>
            <w:noProof/>
            <w:color w:val="auto"/>
            <w:sz w:val="24"/>
            <w:szCs w:val="24"/>
            <w:u w:val="none"/>
          </w:rPr>
          <w:t>国际人工智能与教育大会在京召开</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_Toc12291665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4</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6" w:history="1">
        <w:r w:rsidRPr="009F4B58">
          <w:rPr>
            <w:rStyle w:val="a6"/>
            <w:rFonts w:asciiTheme="minorEastAsia" w:hAnsiTheme="minorEastAsia" w:hint="eastAsia"/>
            <w:noProof/>
            <w:color w:val="auto"/>
            <w:sz w:val="24"/>
            <w:szCs w:val="24"/>
            <w:u w:val="none"/>
          </w:rPr>
          <w:t>“六卓越一拔尖”计划</w:t>
        </w:r>
        <w:r w:rsidRPr="009F4B58">
          <w:rPr>
            <w:rStyle w:val="a6"/>
            <w:rFonts w:asciiTheme="minorEastAsia" w:hAnsiTheme="minorEastAsia"/>
            <w:noProof/>
            <w:color w:val="auto"/>
            <w:sz w:val="24"/>
            <w:szCs w:val="24"/>
            <w:u w:val="none"/>
          </w:rPr>
          <w:t>2.0</w:t>
        </w:r>
        <w:r w:rsidRPr="009F4B58">
          <w:rPr>
            <w:rStyle w:val="a6"/>
            <w:rFonts w:asciiTheme="minorEastAsia" w:hAnsiTheme="minorEastAsia" w:hint="eastAsia"/>
            <w:noProof/>
            <w:color w:val="auto"/>
            <w:sz w:val="24"/>
            <w:szCs w:val="24"/>
            <w:u w:val="none"/>
          </w:rPr>
          <w:t>启动大会召开</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_Toc12291666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5</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7" w:history="1">
        <w:r w:rsidRPr="009F4B58">
          <w:rPr>
            <w:rStyle w:val="a6"/>
            <w:rFonts w:asciiTheme="minorEastAsia" w:hAnsiTheme="minorEastAsia" w:hint="eastAsia"/>
            <w:noProof/>
            <w:color w:val="auto"/>
            <w:sz w:val="24"/>
            <w:szCs w:val="24"/>
            <w:u w:val="none"/>
          </w:rPr>
          <w:t>河南省委省政府召开全省教育大会</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_Toc12291667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6</w:t>
        </w:r>
        <w:r w:rsidRPr="009F4B58">
          <w:rPr>
            <w:rStyle w:val="a6"/>
            <w:rFonts w:asciiTheme="minorEastAsia" w:hAnsiTheme="minorEastAsia"/>
            <w:webHidden/>
            <w:color w:val="auto"/>
            <w:sz w:val="24"/>
            <w:szCs w:val="24"/>
            <w:u w:val="none"/>
          </w:rPr>
          <w:fldChar w:fldCharType="end"/>
        </w:r>
      </w:hyperlink>
    </w:p>
    <w:p w:rsidR="009F4B58" w:rsidRDefault="009F4B58" w:rsidP="009F4B58">
      <w:pPr>
        <w:pStyle w:val="20"/>
        <w:tabs>
          <w:tab w:val="right" w:leader="dot" w:pos="8296"/>
        </w:tabs>
        <w:spacing w:line="360" w:lineRule="auto"/>
        <w:ind w:leftChars="0" w:left="0"/>
        <w:rPr>
          <w:rStyle w:val="a6"/>
          <w:rFonts w:asciiTheme="minorEastAsia" w:hAnsiTheme="minorEastAsia" w:hint="eastAsia"/>
          <w:noProof/>
          <w:color w:val="auto"/>
          <w:sz w:val="24"/>
          <w:szCs w:val="24"/>
          <w:u w:val="none"/>
        </w:rPr>
      </w:pPr>
      <w:r>
        <w:rPr>
          <w:rStyle w:val="a6"/>
          <w:rFonts w:asciiTheme="minorEastAsia" w:hAnsiTheme="minorEastAsia" w:hint="eastAsia"/>
          <w:noProof/>
          <w:color w:val="auto"/>
          <w:sz w:val="24"/>
          <w:szCs w:val="24"/>
          <w:u w:val="none"/>
        </w:rPr>
        <w:t xml:space="preserve">    </w:t>
      </w:r>
      <w:hyperlink w:anchor="_Toc12291668" w:history="1">
        <w:r w:rsidRPr="009F4B58">
          <w:rPr>
            <w:rStyle w:val="a6"/>
            <w:rFonts w:asciiTheme="minorEastAsia" w:hAnsiTheme="minorEastAsia" w:hint="eastAsia"/>
            <w:noProof/>
            <w:color w:val="auto"/>
            <w:sz w:val="24"/>
            <w:szCs w:val="24"/>
            <w:u w:val="none"/>
          </w:rPr>
          <w:t>全省应用技术类型本科院校建设工作现场推进会召开</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_Toc12291668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9</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cs="Times New Roman"/>
          <w:b/>
          <w:noProof/>
          <w:color w:val="auto"/>
          <w:sz w:val="24"/>
          <w:szCs w:val="24"/>
          <w:u w:val="none"/>
        </w:rPr>
      </w:pPr>
      <w:r w:rsidRPr="009F4B58">
        <w:rPr>
          <w:rStyle w:val="a6"/>
          <w:rFonts w:cs="Times New Roman" w:hint="eastAsia"/>
          <w:b/>
          <w:noProof/>
          <w:color w:val="auto"/>
          <w:sz w:val="24"/>
          <w:szCs w:val="24"/>
          <w:u w:val="none"/>
        </w:rPr>
        <w:t>高教研究</w:t>
      </w:r>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69" w:history="1">
        <w:r w:rsidRPr="009F4B58">
          <w:rPr>
            <w:rStyle w:val="a6"/>
            <w:rFonts w:asciiTheme="minorEastAsia" w:hAnsiTheme="minorEastAsia" w:hint="eastAsia"/>
            <w:noProof/>
            <w:color w:val="auto"/>
            <w:sz w:val="24"/>
            <w:szCs w:val="24"/>
            <w:u w:val="none"/>
          </w:rPr>
          <w:t>学科交叉融合呼唤高校联合聘任</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_Toc12291669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11</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70" w:history="1">
        <w:r w:rsidRPr="009F4B58">
          <w:rPr>
            <w:rStyle w:val="a6"/>
            <w:rFonts w:asciiTheme="minorEastAsia" w:hAnsiTheme="minorEastAsia" w:hint="eastAsia"/>
            <w:noProof/>
            <w:color w:val="auto"/>
            <w:sz w:val="24"/>
            <w:szCs w:val="24"/>
            <w:u w:val="none"/>
          </w:rPr>
          <w:t>国际交流合作支撑人才培养</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_Toc12291670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14</w:t>
        </w:r>
        <w:r w:rsidRPr="009F4B58">
          <w:rPr>
            <w:rStyle w:val="a6"/>
            <w:rFonts w:asciiTheme="minorEastAsia" w:hAnsiTheme="minorEastAsia"/>
            <w:webHidden/>
            <w:color w:val="auto"/>
            <w:sz w:val="24"/>
            <w:szCs w:val="24"/>
            <w:u w:val="none"/>
          </w:rPr>
          <w:fldChar w:fldCharType="end"/>
        </w:r>
      </w:hyperlink>
    </w:p>
    <w:p w:rsidR="009F4B58" w:rsidRDefault="009F4B58" w:rsidP="009F4B58">
      <w:pPr>
        <w:pStyle w:val="20"/>
        <w:tabs>
          <w:tab w:val="right" w:leader="dot" w:pos="8296"/>
        </w:tabs>
        <w:spacing w:line="360" w:lineRule="auto"/>
        <w:ind w:leftChars="0" w:left="0"/>
        <w:rPr>
          <w:rStyle w:val="a6"/>
          <w:rFonts w:asciiTheme="minorEastAsia" w:hAnsiTheme="minorEastAsia" w:hint="eastAsia"/>
          <w:noProof/>
          <w:color w:val="auto"/>
          <w:sz w:val="24"/>
          <w:szCs w:val="24"/>
          <w:u w:val="none"/>
        </w:rPr>
      </w:pPr>
      <w:r>
        <w:rPr>
          <w:rStyle w:val="a6"/>
          <w:rFonts w:asciiTheme="minorEastAsia" w:hAnsiTheme="minorEastAsia" w:hint="eastAsia"/>
          <w:noProof/>
          <w:color w:val="auto"/>
          <w:sz w:val="24"/>
          <w:szCs w:val="24"/>
          <w:u w:val="none"/>
        </w:rPr>
        <w:t xml:space="preserve">    </w:t>
      </w:r>
      <w:hyperlink w:anchor="_Toc12291671" w:history="1">
        <w:r w:rsidRPr="009F4B58">
          <w:rPr>
            <w:rStyle w:val="a6"/>
            <w:rFonts w:asciiTheme="minorEastAsia" w:hAnsiTheme="minorEastAsia" w:hint="eastAsia"/>
            <w:noProof/>
            <w:color w:val="auto"/>
            <w:sz w:val="24"/>
            <w:szCs w:val="24"/>
            <w:u w:val="none"/>
          </w:rPr>
          <w:t>创业教师应做“新的学习场景开发者”</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_Toc12291671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16</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cs="Times New Roman"/>
          <w:b/>
          <w:noProof/>
          <w:color w:val="auto"/>
          <w:sz w:val="24"/>
          <w:szCs w:val="24"/>
          <w:u w:val="none"/>
        </w:rPr>
      </w:pPr>
      <w:r w:rsidRPr="009F4B58">
        <w:rPr>
          <w:rStyle w:val="a6"/>
          <w:rFonts w:cs="Times New Roman" w:hint="eastAsia"/>
          <w:b/>
          <w:noProof/>
          <w:color w:val="auto"/>
          <w:sz w:val="24"/>
          <w:szCs w:val="24"/>
          <w:u w:val="none"/>
        </w:rPr>
        <w:t>发展改革</w:t>
      </w:r>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72" w:history="1">
        <w:r w:rsidRPr="009F4B58">
          <w:rPr>
            <w:rStyle w:val="a6"/>
            <w:rFonts w:asciiTheme="minorEastAsia" w:hAnsiTheme="minorEastAsia" w:hint="eastAsia"/>
            <w:noProof/>
            <w:color w:val="auto"/>
            <w:sz w:val="24"/>
            <w:szCs w:val="24"/>
            <w:u w:val="none"/>
          </w:rPr>
          <w:t>切实为科研人员松绑助力</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_Toc12291672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19</w:t>
        </w:r>
        <w:r w:rsidRPr="009F4B58">
          <w:rPr>
            <w:rStyle w:val="a6"/>
            <w:rFonts w:asciiTheme="minorEastAsia" w:hAnsiTheme="minorEastAsia"/>
            <w:webHidden/>
            <w:color w:val="auto"/>
            <w:sz w:val="24"/>
            <w:szCs w:val="24"/>
            <w:u w:val="none"/>
          </w:rPr>
          <w:fldChar w:fldCharType="end"/>
        </w:r>
      </w:hyperlink>
    </w:p>
    <w:p w:rsidR="009F4B58" w:rsidRDefault="009F4B58" w:rsidP="009F4B58">
      <w:pPr>
        <w:pStyle w:val="20"/>
        <w:tabs>
          <w:tab w:val="right" w:leader="dot" w:pos="8296"/>
        </w:tabs>
        <w:spacing w:line="360" w:lineRule="auto"/>
        <w:ind w:leftChars="0" w:left="0"/>
        <w:rPr>
          <w:rStyle w:val="a6"/>
          <w:rFonts w:asciiTheme="minorEastAsia" w:hAnsiTheme="minorEastAsia" w:hint="eastAsia"/>
          <w:noProof/>
          <w:color w:val="auto"/>
          <w:sz w:val="24"/>
          <w:szCs w:val="24"/>
          <w:u w:val="none"/>
        </w:rPr>
      </w:pPr>
      <w:r>
        <w:rPr>
          <w:rStyle w:val="a6"/>
          <w:rFonts w:asciiTheme="minorEastAsia" w:hAnsiTheme="minorEastAsia" w:hint="eastAsia"/>
          <w:noProof/>
          <w:color w:val="auto"/>
          <w:sz w:val="24"/>
          <w:szCs w:val="24"/>
          <w:u w:val="none"/>
        </w:rPr>
        <w:t xml:space="preserve">    </w:t>
      </w:r>
      <w:hyperlink w:anchor="_Toc12291673" w:history="1">
        <w:r w:rsidRPr="009F4B58">
          <w:rPr>
            <w:rStyle w:val="a6"/>
            <w:rFonts w:asciiTheme="minorEastAsia" w:hAnsiTheme="minorEastAsia" w:hint="eastAsia"/>
            <w:noProof/>
            <w:color w:val="auto"/>
            <w:sz w:val="24"/>
            <w:szCs w:val="24"/>
            <w:u w:val="none"/>
          </w:rPr>
          <w:t>应用转型促发展</w:t>
        </w:r>
        <w:r w:rsidRPr="009F4B58">
          <w:rPr>
            <w:rStyle w:val="a6"/>
            <w:rFonts w:asciiTheme="minorEastAsia" w:hAnsiTheme="minorEastAsia"/>
            <w:noProof/>
            <w:color w:val="auto"/>
            <w:sz w:val="24"/>
            <w:szCs w:val="24"/>
            <w:u w:val="none"/>
          </w:rPr>
          <w:t xml:space="preserve"> </w:t>
        </w:r>
        <w:r w:rsidRPr="009F4B58">
          <w:rPr>
            <w:rStyle w:val="a6"/>
            <w:rFonts w:asciiTheme="minorEastAsia" w:hAnsiTheme="minorEastAsia" w:hint="eastAsia"/>
            <w:noProof/>
            <w:color w:val="auto"/>
            <w:sz w:val="24"/>
            <w:szCs w:val="24"/>
            <w:u w:val="none"/>
          </w:rPr>
          <w:t>综合施策抓质量</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_Toc12291673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22</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cs="Times New Roman"/>
          <w:b/>
          <w:noProof/>
          <w:color w:val="auto"/>
          <w:sz w:val="24"/>
          <w:szCs w:val="24"/>
          <w:u w:val="none"/>
        </w:rPr>
      </w:pPr>
      <w:r w:rsidRPr="009F4B58">
        <w:rPr>
          <w:rStyle w:val="a6"/>
          <w:rFonts w:cs="Times New Roman" w:hint="eastAsia"/>
          <w:b/>
          <w:noProof/>
          <w:color w:val="auto"/>
          <w:sz w:val="24"/>
          <w:szCs w:val="24"/>
          <w:u w:val="none"/>
        </w:rPr>
        <w:t>他山之石</w:t>
      </w:r>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74" w:history="1">
        <w:r w:rsidRPr="009F4B58">
          <w:rPr>
            <w:rStyle w:val="a6"/>
            <w:rFonts w:asciiTheme="minorEastAsia" w:hAnsiTheme="minorEastAsia" w:hint="eastAsia"/>
            <w:noProof/>
            <w:color w:val="auto"/>
            <w:sz w:val="24"/>
            <w:szCs w:val="24"/>
            <w:u w:val="none"/>
          </w:rPr>
          <w:t>从西北师大看“新师范”的起承转合</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_Toc12291674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24</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75" w:history="1">
        <w:r w:rsidRPr="009F4B58">
          <w:rPr>
            <w:rStyle w:val="a6"/>
            <w:rFonts w:asciiTheme="minorEastAsia" w:hAnsiTheme="minorEastAsia" w:hint="eastAsia"/>
            <w:noProof/>
            <w:color w:val="auto"/>
            <w:sz w:val="24"/>
            <w:szCs w:val="24"/>
            <w:u w:val="none"/>
          </w:rPr>
          <w:t>西安交大：通识课可以这样创出新意</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_Toc12291675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28</w:t>
        </w:r>
        <w:r w:rsidRPr="009F4B58">
          <w:rPr>
            <w:rStyle w:val="a6"/>
            <w:rFonts w:asciiTheme="minorEastAsia" w:hAnsiTheme="minorEastAsia"/>
            <w:webHidden/>
            <w:color w:val="auto"/>
            <w:sz w:val="24"/>
            <w:szCs w:val="24"/>
            <w:u w:val="none"/>
          </w:rPr>
          <w:fldChar w:fldCharType="end"/>
        </w:r>
      </w:hyperlink>
    </w:p>
    <w:p w:rsidR="009F4B58" w:rsidRDefault="009F4B58" w:rsidP="009F4B58">
      <w:pPr>
        <w:pStyle w:val="20"/>
        <w:tabs>
          <w:tab w:val="right" w:leader="dot" w:pos="8296"/>
        </w:tabs>
        <w:spacing w:line="360" w:lineRule="auto"/>
        <w:ind w:leftChars="0" w:left="0"/>
        <w:rPr>
          <w:rStyle w:val="a6"/>
          <w:rFonts w:asciiTheme="minorEastAsia" w:hAnsiTheme="minorEastAsia" w:hint="eastAsia"/>
          <w:noProof/>
          <w:color w:val="auto"/>
          <w:sz w:val="24"/>
          <w:szCs w:val="24"/>
          <w:u w:val="none"/>
        </w:rPr>
      </w:pPr>
      <w:r>
        <w:rPr>
          <w:rStyle w:val="a6"/>
          <w:rFonts w:asciiTheme="minorEastAsia" w:hAnsiTheme="minorEastAsia" w:hint="eastAsia"/>
          <w:noProof/>
          <w:color w:val="auto"/>
          <w:sz w:val="24"/>
          <w:szCs w:val="24"/>
          <w:u w:val="none"/>
        </w:rPr>
        <w:t xml:space="preserve">    </w:t>
      </w:r>
      <w:hyperlink w:anchor="_Toc12291676" w:history="1">
        <w:r w:rsidRPr="009F4B58">
          <w:rPr>
            <w:rStyle w:val="a6"/>
            <w:rFonts w:asciiTheme="minorEastAsia" w:hAnsiTheme="minorEastAsia" w:hint="eastAsia"/>
            <w:noProof/>
            <w:color w:val="auto"/>
            <w:sz w:val="24"/>
            <w:szCs w:val="24"/>
            <w:u w:val="none"/>
          </w:rPr>
          <w:t>企业背后的高校智囊团</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_Toc12291676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30</w:t>
        </w:r>
        <w:r w:rsidRPr="009F4B58">
          <w:rPr>
            <w:rStyle w:val="a6"/>
            <w:rFonts w:asciiTheme="minorEastAsia" w:hAnsiTheme="minorEastAsia"/>
            <w:webHidden/>
            <w:color w:val="auto"/>
            <w:sz w:val="24"/>
            <w:szCs w:val="24"/>
            <w:u w:val="none"/>
          </w:rPr>
          <w:fldChar w:fldCharType="end"/>
        </w:r>
      </w:hyperlink>
    </w:p>
    <w:p w:rsidR="009F4B58" w:rsidRPr="009F4B58" w:rsidRDefault="009F4B58" w:rsidP="009F4B58">
      <w:pPr>
        <w:pStyle w:val="20"/>
        <w:tabs>
          <w:tab w:val="right" w:leader="dot" w:pos="8296"/>
        </w:tabs>
        <w:spacing w:line="360" w:lineRule="auto"/>
        <w:ind w:leftChars="0" w:left="0"/>
        <w:rPr>
          <w:rStyle w:val="a6"/>
          <w:rFonts w:cs="Times New Roman"/>
          <w:b/>
          <w:noProof/>
          <w:color w:val="auto"/>
          <w:sz w:val="24"/>
          <w:szCs w:val="24"/>
          <w:u w:val="none"/>
        </w:rPr>
      </w:pPr>
      <w:r w:rsidRPr="009F4B58">
        <w:rPr>
          <w:rStyle w:val="a6"/>
          <w:rFonts w:cs="Times New Roman" w:hint="eastAsia"/>
          <w:b/>
          <w:noProof/>
          <w:color w:val="auto"/>
          <w:sz w:val="24"/>
          <w:szCs w:val="24"/>
          <w:u w:val="none"/>
        </w:rPr>
        <w:t>高教视点</w:t>
      </w:r>
    </w:p>
    <w:p w:rsidR="009F4B58" w:rsidRPr="009F4B58" w:rsidRDefault="009F4B58"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Pr>
          <w:rStyle w:val="a6"/>
          <w:rFonts w:asciiTheme="minorEastAsia" w:hAnsiTheme="minorEastAsia" w:hint="eastAsia"/>
          <w:noProof/>
          <w:color w:val="auto"/>
          <w:sz w:val="24"/>
          <w:szCs w:val="24"/>
          <w:u w:val="none"/>
        </w:rPr>
        <w:t xml:space="preserve">    </w:t>
      </w:r>
      <w:hyperlink w:anchor="_Toc12291677" w:history="1">
        <w:r w:rsidRPr="009F4B58">
          <w:rPr>
            <w:rStyle w:val="a6"/>
            <w:rFonts w:asciiTheme="minorEastAsia" w:hAnsiTheme="minorEastAsia" w:hint="eastAsia"/>
            <w:noProof/>
            <w:color w:val="auto"/>
            <w:sz w:val="24"/>
            <w:szCs w:val="24"/>
            <w:u w:val="none"/>
          </w:rPr>
          <w:t>慕课来了</w:t>
        </w:r>
        <w:r w:rsidRPr="009F4B58">
          <w:rPr>
            <w:rStyle w:val="a6"/>
            <w:rFonts w:asciiTheme="minorEastAsia" w:hAnsiTheme="minorEastAsia"/>
            <w:noProof/>
            <w:color w:val="auto"/>
            <w:sz w:val="24"/>
            <w:szCs w:val="24"/>
            <w:u w:val="none"/>
          </w:rPr>
          <w:t xml:space="preserve"> </w:t>
        </w:r>
        <w:r w:rsidRPr="009F4B58">
          <w:rPr>
            <w:rStyle w:val="a6"/>
            <w:rFonts w:asciiTheme="minorEastAsia" w:hAnsiTheme="minorEastAsia" w:hint="eastAsia"/>
            <w:noProof/>
            <w:color w:val="auto"/>
            <w:sz w:val="24"/>
            <w:szCs w:val="24"/>
            <w:u w:val="none"/>
          </w:rPr>
          <w:t>高校存在的价值在哪里</w:t>
        </w:r>
        <w:r w:rsidRPr="009F4B58">
          <w:rPr>
            <w:rStyle w:val="a6"/>
            <w:rFonts w:asciiTheme="minorEastAsia" w:hAnsiTheme="minorEastAsia"/>
            <w:webHidden/>
            <w:color w:val="auto"/>
            <w:sz w:val="24"/>
            <w:szCs w:val="24"/>
            <w:u w:val="none"/>
          </w:rPr>
          <w:tab/>
        </w:r>
        <w:r w:rsidRPr="009F4B58">
          <w:rPr>
            <w:rStyle w:val="a6"/>
            <w:rFonts w:asciiTheme="minorEastAsia" w:hAnsiTheme="minorEastAsia"/>
            <w:webHidden/>
            <w:color w:val="auto"/>
            <w:sz w:val="24"/>
            <w:szCs w:val="24"/>
            <w:u w:val="none"/>
          </w:rPr>
          <w:fldChar w:fldCharType="begin"/>
        </w:r>
        <w:r w:rsidRPr="009F4B58">
          <w:rPr>
            <w:rStyle w:val="a6"/>
            <w:rFonts w:asciiTheme="minorEastAsia" w:hAnsiTheme="minorEastAsia"/>
            <w:webHidden/>
            <w:color w:val="auto"/>
            <w:sz w:val="24"/>
            <w:szCs w:val="24"/>
            <w:u w:val="none"/>
          </w:rPr>
          <w:instrText xml:space="preserve"> PAGEREF _Toc12291677 \h </w:instrText>
        </w:r>
        <w:r w:rsidRPr="009F4B58">
          <w:rPr>
            <w:rStyle w:val="a6"/>
            <w:rFonts w:asciiTheme="minorEastAsia" w:hAnsiTheme="minorEastAsia"/>
            <w:webHidden/>
            <w:color w:val="auto"/>
            <w:sz w:val="24"/>
            <w:szCs w:val="24"/>
            <w:u w:val="none"/>
          </w:rPr>
        </w:r>
        <w:r w:rsidRPr="009F4B58">
          <w:rPr>
            <w:rStyle w:val="a6"/>
            <w:rFonts w:asciiTheme="minorEastAsia" w:hAnsiTheme="minorEastAsia"/>
            <w:webHidden/>
            <w:color w:val="auto"/>
            <w:sz w:val="24"/>
            <w:szCs w:val="24"/>
            <w:u w:val="none"/>
          </w:rPr>
          <w:fldChar w:fldCharType="separate"/>
        </w:r>
        <w:r w:rsidRPr="009F4B58">
          <w:rPr>
            <w:rStyle w:val="a6"/>
            <w:rFonts w:asciiTheme="minorEastAsia" w:hAnsiTheme="minorEastAsia"/>
            <w:webHidden/>
            <w:color w:val="auto"/>
            <w:sz w:val="24"/>
            <w:szCs w:val="24"/>
            <w:u w:val="none"/>
          </w:rPr>
          <w:t>32</w:t>
        </w:r>
        <w:r w:rsidRPr="009F4B58">
          <w:rPr>
            <w:rStyle w:val="a6"/>
            <w:rFonts w:asciiTheme="minorEastAsia" w:hAnsiTheme="minorEastAsia"/>
            <w:webHidden/>
            <w:color w:val="auto"/>
            <w:sz w:val="24"/>
            <w:szCs w:val="24"/>
            <w:u w:val="none"/>
          </w:rPr>
          <w:fldChar w:fldCharType="end"/>
        </w:r>
      </w:hyperlink>
    </w:p>
    <w:p w:rsidR="00730360" w:rsidRPr="009F4B58" w:rsidRDefault="001B4E8D" w:rsidP="009F4B58">
      <w:pPr>
        <w:pStyle w:val="20"/>
        <w:tabs>
          <w:tab w:val="right" w:leader="dot" w:pos="8296"/>
        </w:tabs>
        <w:spacing w:line="360" w:lineRule="auto"/>
        <w:ind w:leftChars="0" w:left="0"/>
        <w:rPr>
          <w:rStyle w:val="a6"/>
          <w:rFonts w:asciiTheme="minorEastAsia" w:hAnsiTheme="minorEastAsia"/>
          <w:color w:val="auto"/>
          <w:sz w:val="24"/>
          <w:szCs w:val="24"/>
          <w:u w:val="none"/>
        </w:rPr>
      </w:pPr>
      <w:r w:rsidRPr="009F4B58">
        <w:rPr>
          <w:rStyle w:val="a6"/>
          <w:rFonts w:asciiTheme="minorEastAsia" w:hAnsiTheme="minorEastAsia"/>
          <w:color w:val="auto"/>
          <w:sz w:val="24"/>
          <w:szCs w:val="24"/>
          <w:u w:val="none"/>
        </w:rPr>
        <w:fldChar w:fldCharType="end"/>
      </w:r>
    </w:p>
    <w:p w:rsidR="00730360" w:rsidRDefault="00730360">
      <w:pPr>
        <w:widowControl/>
        <w:jc w:val="left"/>
        <w:rPr>
          <w:rFonts w:ascii="宋体" w:eastAsia="宋体" w:hAnsi="宋体"/>
          <w:sz w:val="30"/>
          <w:szCs w:val="30"/>
        </w:rPr>
      </w:pPr>
      <w:r>
        <w:rPr>
          <w:rFonts w:ascii="宋体" w:eastAsia="宋体" w:hAnsi="宋体"/>
          <w:sz w:val="30"/>
          <w:szCs w:val="30"/>
        </w:rPr>
        <w:br w:type="page"/>
      </w:r>
    </w:p>
    <w:p w:rsidR="008218D1" w:rsidRPr="008218D1" w:rsidRDefault="008218D1" w:rsidP="008218D1">
      <w:pPr>
        <w:spacing w:line="360" w:lineRule="auto"/>
        <w:rPr>
          <w:rFonts w:ascii="宋体" w:hAnsi="宋体"/>
          <w:b/>
          <w:sz w:val="30"/>
          <w:szCs w:val="30"/>
        </w:rPr>
      </w:pPr>
      <w:r w:rsidRPr="000F4922">
        <w:rPr>
          <w:rFonts w:ascii="宋体" w:eastAsia="宋体" w:hAnsi="宋体" w:cs="Times New Roman" w:hint="eastAsia"/>
          <w:b/>
          <w:sz w:val="30"/>
          <w:szCs w:val="30"/>
        </w:rPr>
        <w:lastRenderedPageBreak/>
        <w:t>高教信息</w:t>
      </w:r>
    </w:p>
    <w:p w:rsidR="007025C7" w:rsidRPr="007025C7" w:rsidRDefault="007025C7" w:rsidP="007025C7">
      <w:pPr>
        <w:pStyle w:val="2"/>
        <w:jc w:val="center"/>
        <w:rPr>
          <w:rFonts w:ascii="宋体" w:eastAsia="宋体" w:hAnsi="宋体"/>
          <w:sz w:val="30"/>
          <w:szCs w:val="30"/>
        </w:rPr>
      </w:pPr>
      <w:bookmarkStart w:id="0" w:name="_Toc12291662"/>
      <w:r w:rsidRPr="007025C7">
        <w:rPr>
          <w:rFonts w:ascii="宋体" w:eastAsia="宋体" w:hAnsi="宋体" w:hint="eastAsia"/>
          <w:sz w:val="30"/>
          <w:szCs w:val="30"/>
        </w:rPr>
        <w:t>教育部启动职业院校教师教学创新团队建设</w:t>
      </w:r>
      <w:bookmarkEnd w:id="0"/>
    </w:p>
    <w:p w:rsidR="007025C7" w:rsidRPr="00EA7725" w:rsidRDefault="00EA7725" w:rsidP="00EA7725">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007025C7" w:rsidRPr="00384D10">
        <w:rPr>
          <w:rFonts w:ascii="宋体" w:eastAsia="宋体" w:hAnsi="宋体" w:cs="Times New Roman" w:hint="eastAsia"/>
          <w:sz w:val="24"/>
          <w:szCs w:val="24"/>
        </w:rPr>
        <w:t>日前，教育部印发《全国职业院校教师教学创新团队建设方案》，《方案》明确，2019—2021年，打造360个满足职业教育教学和培训实际需要的高水平、结构化的国家级团队，示范引领高素质“</w:t>
      </w:r>
      <w:r>
        <w:rPr>
          <w:rFonts w:ascii="宋体" w:eastAsia="宋体" w:hAnsi="宋体" w:cs="Times New Roman" w:hint="eastAsia"/>
          <w:sz w:val="24"/>
          <w:szCs w:val="24"/>
        </w:rPr>
        <w:t>双师型”教师队伍建设，深化职业院校教师、教材、教法“三教”改革。</w:t>
      </w:r>
    </w:p>
    <w:p w:rsidR="007025C7" w:rsidRPr="00384D10" w:rsidRDefault="007025C7" w:rsidP="00384D10">
      <w:pPr>
        <w:spacing w:line="360" w:lineRule="auto"/>
        <w:ind w:firstLineChars="200" w:firstLine="480"/>
        <w:rPr>
          <w:rFonts w:ascii="宋体" w:eastAsia="宋体" w:hAnsi="宋体" w:cs="Times New Roman"/>
          <w:sz w:val="24"/>
          <w:szCs w:val="24"/>
        </w:rPr>
      </w:pPr>
      <w:r w:rsidRPr="00384D10">
        <w:rPr>
          <w:rFonts w:ascii="宋体" w:eastAsia="宋体" w:hAnsi="宋体" w:cs="Times New Roman" w:hint="eastAsia"/>
          <w:sz w:val="24"/>
          <w:szCs w:val="24"/>
        </w:rPr>
        <w:t>《方案》提出，为服务职业教育高质量发展和“学历证书+若干职业技能等级证书”制度试点需要，教师教学创新团队建设突出示范引领、建优扶强、协同创新、促进改革，按照“择优遴选、培育建设一批，优中选优、考核认定一批”的总体思路，面向中等职业学校、高等职业学校和应用型本科高校，聚焦战略性重点产业领域和民生紧缺领域专业，分年度、分批次、分专业遴选建设国家级职业院校教师教学创新团队，示范引领各地各校因地制宜做好省级、校级团队整体规划和建设布局，按计划、分步骤建成一批覆盖骨干专业（群）、引领教育教学模式改革创新、推进人才培养质量持续提升的教师教学创新团队</w:t>
      </w:r>
      <w:r w:rsidR="00EA7725">
        <w:rPr>
          <w:rFonts w:ascii="宋体" w:eastAsia="宋体" w:hAnsi="宋体" w:cs="Times New Roman" w:hint="eastAsia"/>
          <w:sz w:val="24"/>
          <w:szCs w:val="24"/>
        </w:rPr>
        <w:t>。</w:t>
      </w:r>
    </w:p>
    <w:p w:rsidR="007025C7" w:rsidRDefault="007025C7" w:rsidP="00EA7725">
      <w:pPr>
        <w:spacing w:line="360" w:lineRule="auto"/>
        <w:ind w:firstLineChars="200" w:firstLine="480"/>
        <w:rPr>
          <w:rFonts w:ascii="宋体" w:eastAsia="宋体" w:hAnsi="宋体" w:cs="Times New Roman"/>
          <w:sz w:val="24"/>
          <w:szCs w:val="24"/>
        </w:rPr>
      </w:pPr>
      <w:r w:rsidRPr="00384D10">
        <w:rPr>
          <w:rFonts w:ascii="宋体" w:eastAsia="宋体" w:hAnsi="宋体" w:cs="Times New Roman" w:hint="eastAsia"/>
          <w:sz w:val="24"/>
          <w:szCs w:val="24"/>
        </w:rPr>
        <w:t>《方案》要求，国家级团队须团队结构科学合理，涵盖公共基础课、专业基础课、专业核心课、实习指导教师和企业兼职教师，骨干成员一般15—20人且相对稳定。团队中“双师型”教师占比超过一半，中职、高职具有高级专业技术职称（职务）或相关高级以上职业资格证教师分别占30%、40%以上；骨干成员有5年以上相关工作经验的行业企业高级技术人员兼职任教。</w:t>
      </w:r>
      <w:r w:rsidR="00384D10" w:rsidRPr="00384D10">
        <w:rPr>
          <w:rFonts w:ascii="宋体" w:eastAsia="宋体" w:hAnsi="宋体" w:cs="Times New Roman" w:hint="eastAsia"/>
          <w:sz w:val="24"/>
          <w:szCs w:val="24"/>
        </w:rPr>
        <w:t>（来源：《中国教育报》。</w:t>
      </w:r>
      <w:r w:rsidR="005B102C">
        <w:rPr>
          <w:rFonts w:ascii="宋体" w:eastAsia="宋体" w:hAnsi="宋体" w:cs="Times New Roman" w:hint="eastAsia"/>
          <w:sz w:val="24"/>
          <w:szCs w:val="24"/>
        </w:rPr>
        <w:t>2019年6月20日</w:t>
      </w:r>
      <w:r w:rsidR="00384D10" w:rsidRPr="00384D10">
        <w:rPr>
          <w:rFonts w:ascii="宋体" w:eastAsia="宋体" w:hAnsi="宋体" w:cs="Times New Roman" w:hint="eastAsia"/>
          <w:sz w:val="24"/>
          <w:szCs w:val="24"/>
        </w:rPr>
        <w:t>）</w:t>
      </w:r>
    </w:p>
    <w:p w:rsidR="00353BDC" w:rsidRPr="00353BDC" w:rsidRDefault="00353BDC" w:rsidP="00353BDC">
      <w:pPr>
        <w:pStyle w:val="2"/>
        <w:jc w:val="center"/>
        <w:rPr>
          <w:rFonts w:ascii="宋体" w:eastAsia="宋体" w:hAnsi="宋体"/>
          <w:sz w:val="30"/>
          <w:szCs w:val="30"/>
        </w:rPr>
      </w:pPr>
      <w:bookmarkStart w:id="1" w:name="_Toc12291663"/>
      <w:r w:rsidRPr="00353BDC">
        <w:rPr>
          <w:rFonts w:ascii="宋体" w:eastAsia="宋体" w:hAnsi="宋体" w:hint="eastAsia"/>
          <w:sz w:val="30"/>
          <w:szCs w:val="30"/>
        </w:rPr>
        <w:t>孙春兰</w:t>
      </w:r>
      <w:r w:rsidR="00524759">
        <w:rPr>
          <w:rFonts w:ascii="宋体" w:eastAsia="宋体" w:hAnsi="宋体" w:hint="eastAsia"/>
          <w:sz w:val="30"/>
          <w:szCs w:val="30"/>
        </w:rPr>
        <w:t xml:space="preserve">上海调研 </w:t>
      </w:r>
      <w:r w:rsidRPr="00353BDC">
        <w:rPr>
          <w:rFonts w:ascii="宋体" w:eastAsia="宋体" w:hAnsi="宋体" w:hint="eastAsia"/>
          <w:sz w:val="30"/>
          <w:szCs w:val="30"/>
        </w:rPr>
        <w:t>强调</w:t>
      </w:r>
      <w:r w:rsidR="0072218C">
        <w:rPr>
          <w:rFonts w:ascii="宋体" w:eastAsia="宋体" w:hAnsi="宋体" w:hint="eastAsia"/>
          <w:sz w:val="30"/>
          <w:szCs w:val="30"/>
        </w:rPr>
        <w:t>加强</w:t>
      </w:r>
      <w:r w:rsidRPr="00353BDC">
        <w:rPr>
          <w:rFonts w:ascii="宋体" w:eastAsia="宋体" w:hAnsi="宋体" w:hint="eastAsia"/>
          <w:sz w:val="30"/>
          <w:szCs w:val="30"/>
        </w:rPr>
        <w:t>高校创新</w:t>
      </w:r>
      <w:r w:rsidR="0072218C">
        <w:rPr>
          <w:rFonts w:ascii="宋体" w:eastAsia="宋体" w:hAnsi="宋体" w:hint="eastAsia"/>
          <w:sz w:val="30"/>
          <w:szCs w:val="30"/>
        </w:rPr>
        <w:t>能力</w:t>
      </w:r>
      <w:r w:rsidRPr="00353BDC">
        <w:rPr>
          <w:rFonts w:ascii="宋体" w:eastAsia="宋体" w:hAnsi="宋体" w:hint="eastAsia"/>
          <w:sz w:val="30"/>
          <w:szCs w:val="30"/>
        </w:rPr>
        <w:t>开放合作</w:t>
      </w:r>
      <w:bookmarkEnd w:id="1"/>
      <w:r w:rsidRPr="00353BDC">
        <w:rPr>
          <w:rFonts w:ascii="宋体" w:eastAsia="宋体" w:hAnsi="宋体" w:hint="eastAsia"/>
          <w:sz w:val="30"/>
          <w:szCs w:val="30"/>
        </w:rPr>
        <w:t xml:space="preserve"> </w:t>
      </w:r>
    </w:p>
    <w:p w:rsidR="00353BDC" w:rsidRPr="00353BDC" w:rsidRDefault="00353BDC" w:rsidP="00353BDC">
      <w:pPr>
        <w:spacing w:line="360" w:lineRule="auto"/>
        <w:ind w:firstLineChars="200" w:firstLine="480"/>
        <w:rPr>
          <w:rFonts w:ascii="宋体" w:eastAsia="宋体" w:hAnsi="宋体" w:cs="Times New Roman"/>
          <w:sz w:val="24"/>
          <w:szCs w:val="24"/>
        </w:rPr>
      </w:pPr>
      <w:r w:rsidRPr="00353BDC">
        <w:rPr>
          <w:rFonts w:ascii="宋体" w:eastAsia="宋体" w:hAnsi="宋体" w:cs="Times New Roman" w:hint="eastAsia"/>
          <w:sz w:val="24"/>
          <w:szCs w:val="24"/>
        </w:rPr>
        <w:t>中共中央政治局委员、国务院副总理孙春兰6月17至18日在上海调研时强调，各高校要深入贯彻习近平总书记关于加强创新能力开放合作的重要指示精神，以开放的姿态同世界各国交流互鉴，广泛汇聚各方面创新资源，吸引和培养高精尖缺人才，提升科技创新能力，为推动经济高质量发展、提升国家核心竞争力贡献力量。</w:t>
      </w:r>
    </w:p>
    <w:p w:rsidR="00353BDC" w:rsidRPr="00353BDC" w:rsidRDefault="00353BDC" w:rsidP="00353BDC">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 xml:space="preserve">    </w:t>
      </w:r>
      <w:r w:rsidRPr="00353BDC">
        <w:rPr>
          <w:rFonts w:ascii="宋体" w:eastAsia="宋体" w:hAnsi="宋体" w:cs="Times New Roman" w:hint="eastAsia"/>
          <w:sz w:val="24"/>
          <w:szCs w:val="24"/>
        </w:rPr>
        <w:t>中共中央政治局委员、上海市委书记李强出席有关活动。</w:t>
      </w:r>
    </w:p>
    <w:p w:rsidR="00353BDC" w:rsidRPr="00353BDC" w:rsidRDefault="00353BDC" w:rsidP="00353BDC">
      <w:pPr>
        <w:spacing w:line="360" w:lineRule="auto"/>
        <w:ind w:firstLineChars="200" w:firstLine="480"/>
        <w:rPr>
          <w:rFonts w:ascii="宋体" w:eastAsia="宋体" w:hAnsi="宋体" w:cs="Times New Roman"/>
          <w:sz w:val="24"/>
          <w:szCs w:val="24"/>
        </w:rPr>
      </w:pPr>
      <w:r w:rsidRPr="00353BDC">
        <w:rPr>
          <w:rFonts w:ascii="宋体" w:eastAsia="宋体" w:hAnsi="宋体" w:cs="Times New Roman" w:hint="eastAsia"/>
          <w:sz w:val="24"/>
          <w:szCs w:val="24"/>
        </w:rPr>
        <w:t>孙春兰来到复旦大学、上海交通大学、上海科技大学，实地调研集成电路、脑科学、深海装备、新型光通信、人工智能等科研攻关，了解高校吸引和培养人才情况。她指出，高校是我国原始创新的主渠道和创新人才培养的主阵地，越是在外部不确定因素增多、党和国家事业发展的关键时刻，越要发扬自立自强的精神，以压力促变革，激发自主创新的骨气和志气，加强关键核心技术集中攻关，尽快实现重大突破，主动为国家和民族的发展出力争光。</w:t>
      </w:r>
    </w:p>
    <w:p w:rsidR="00353BDC" w:rsidRDefault="00353BDC" w:rsidP="00353BDC">
      <w:pPr>
        <w:spacing w:line="360" w:lineRule="auto"/>
        <w:ind w:firstLineChars="200" w:firstLine="480"/>
        <w:rPr>
          <w:rFonts w:ascii="宋体" w:eastAsia="宋体" w:hAnsi="宋体" w:cs="Times New Roman"/>
          <w:sz w:val="24"/>
          <w:szCs w:val="24"/>
        </w:rPr>
      </w:pPr>
      <w:r w:rsidRPr="00353BDC">
        <w:rPr>
          <w:rFonts w:ascii="宋体" w:eastAsia="宋体" w:hAnsi="宋体" w:cs="Times New Roman" w:hint="eastAsia"/>
          <w:sz w:val="24"/>
          <w:szCs w:val="24"/>
        </w:rPr>
        <w:t>孙春兰在上海主持召开座谈会，听取上海市和部分高校负责同志的意见建议。她强调，党中央高度重视加强创新能力开放合作，习近平总书记主持召开中央全面深化改革委员会会议审议通过《关于加强创新能力开放合作的若干意见》，对高校提出明确要求。高校要紧密对接国家战略需求，以全球视野谋划和推动科技创新，提升使用全球创新资源能力，推动高等教育实现跨越。要聚焦关键核心技术，整合部门、高校、企业的创新资源，组建集中攻关平台，完善机制、协同联动，把高校的科技创新优势转化为产业发展的优势。加强数学等基础学科建设，在教学科研的强度、深度和难度上下功夫，把更多资源向优势基础学科集中，明确主攻方向，完善评价体系，鼓励教师和科研人员潜心研究，敢于给青年人才压担子，创造更加宽松的科研环境。坚持以本为本，重视本科教育的基础作用，加强通识教育，使学生博学与精专统一，增加发展后劲，提升人才培养质量。相关地方和部门要认真落实党中央、国务院的决策部署，积极支持高校加强创新能力开放合作，不断提升教育服务经济社会发展的能力。</w:t>
      </w:r>
      <w:r w:rsidR="006F3E84">
        <w:rPr>
          <w:rFonts w:ascii="宋体" w:eastAsia="宋体" w:hAnsi="宋体" w:cs="Times New Roman" w:hint="eastAsia"/>
          <w:sz w:val="24"/>
          <w:szCs w:val="24"/>
        </w:rPr>
        <w:t>（来源：新华网。2019年6月19日）</w:t>
      </w:r>
    </w:p>
    <w:p w:rsidR="008218D1" w:rsidRPr="00D44295" w:rsidRDefault="008218D1" w:rsidP="008218D1">
      <w:pPr>
        <w:pStyle w:val="2"/>
        <w:jc w:val="center"/>
        <w:rPr>
          <w:rFonts w:ascii="宋体" w:eastAsia="宋体" w:hAnsi="宋体"/>
          <w:sz w:val="30"/>
          <w:szCs w:val="30"/>
        </w:rPr>
      </w:pPr>
      <w:bookmarkStart w:id="2" w:name="_Toc12291664"/>
      <w:r w:rsidRPr="00D44295">
        <w:rPr>
          <w:rFonts w:ascii="宋体" w:eastAsia="宋体" w:hAnsi="宋体" w:hint="eastAsia"/>
          <w:sz w:val="30"/>
          <w:szCs w:val="30"/>
        </w:rPr>
        <w:t>全国人大常委会启动高等教育法首次执法检查</w:t>
      </w:r>
      <w:bookmarkEnd w:id="2"/>
    </w:p>
    <w:p w:rsidR="008218D1" w:rsidRPr="00D44295" w:rsidRDefault="008218D1" w:rsidP="008218D1">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为全面了解高等教育法贯彻实施情况，督促法律实施机关采取有效措施，进一步贯彻落实法律各项规定，推动高等教育改革创新，为建设高等教育强国提供良好的法治环境，全国人大常委会高等教育法执法检查组第一次全体会议今天在京召开，启动高等教育法执法检查。中共中央政治局委员、全国人大常委会副委员长王晨在会上强调，要坚持以习近平新时代中国特色社会主义思想为指导，全面加强高等教育法贯彻实施，为加快建设世界一流大学和一流学科、增强国家核</w:t>
      </w:r>
      <w:r w:rsidRPr="00D44295">
        <w:rPr>
          <w:rFonts w:ascii="宋体" w:eastAsia="宋体" w:hAnsi="宋体" w:cs="Times New Roman" w:hint="eastAsia"/>
          <w:sz w:val="24"/>
          <w:szCs w:val="24"/>
        </w:rPr>
        <w:lastRenderedPageBreak/>
        <w:t>心竞争力、提升我国高等教育发展水平营造良好法治环境。全国人大常委会副委员长艾力更·依明巴海、陈竺、蔡达峰出席会议。</w:t>
      </w:r>
    </w:p>
    <w:p w:rsidR="008218D1" w:rsidRPr="00D44295" w:rsidRDefault="008218D1" w:rsidP="008218D1">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王晨指出，党的十八大以来，以习近平同志为核心的党中央高度重视教育工作，我国高等教育领域综合改革纵深推进，实现历史性发展，建成世界最大规模的高等教育体系。教育兴则国家兴，教育强则国家强。贯彻党中央关于发展高等教育的新部署，满足人民群众对于高等教育的新期待，就要把高等教育法各项规定落到实处。要着力推动解决我国高等教育在体制机制、科学研究、社会服务等方面存在的困难和问题，实现高等教育内涵式发展，为科教兴国、人才强国、创新驱动发展等国家战略提供智力支撑和法治保障。</w:t>
      </w:r>
    </w:p>
    <w:p w:rsidR="008218D1" w:rsidRPr="00D44295" w:rsidRDefault="008218D1" w:rsidP="008218D1">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王晨强调，执法检查要抓住重点，在推进高等教育改革创新中，把坚持党对高等教育工作的全面领导作为根本保证，把培养合格人才作为核心使命，把服务经济社会发展作为责任担当，把改革体制机制作为根本动力，坚持问题导向，推动我国高等教育更好发展。</w:t>
      </w:r>
    </w:p>
    <w:p w:rsidR="008218D1" w:rsidRPr="00D44295" w:rsidRDefault="008218D1" w:rsidP="008218D1">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据了解，现行高等教育法于1998年制定，2015年作出修改。本次执法检查是高等教育法实施以来全国人大常委会开展的首次执法检查，旨在对法律实施情况进行一次较为全面的检查。</w:t>
      </w:r>
    </w:p>
    <w:p w:rsidR="008218D1" w:rsidRPr="00D44295" w:rsidRDefault="008218D1" w:rsidP="008218D1">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本次执法检查坚持以习近平新时代中国特色社会主义思想为指导，贯彻落实党的十九大和全国教育大会精神，按照高等教育法的要求，在了解高等教育事业发展和法律实施总体情况的基础上，重点聚焦六个方面：坚持党的领导，落实党委领导下的校长负责制情况；提高人才培养质量情况；服务经济社会发展情况；加强教师队伍建设情况；深化考试招生制度改革情况；推进“放管服”改革，扩大办学自主权情况。</w:t>
      </w:r>
    </w:p>
    <w:p w:rsidR="008218D1" w:rsidRPr="00353BDC" w:rsidRDefault="008218D1" w:rsidP="00353BDC">
      <w:pPr>
        <w:spacing w:line="360" w:lineRule="auto"/>
        <w:ind w:firstLineChars="200" w:firstLine="480"/>
        <w:rPr>
          <w:rFonts w:ascii="宋体" w:eastAsia="宋体" w:hAnsi="宋体" w:cs="Times New Roman"/>
          <w:sz w:val="24"/>
          <w:szCs w:val="24"/>
        </w:rPr>
      </w:pPr>
      <w:r w:rsidRPr="00D44295">
        <w:rPr>
          <w:rFonts w:ascii="宋体" w:eastAsia="宋体" w:hAnsi="宋体" w:cs="Times New Roman" w:hint="eastAsia"/>
          <w:sz w:val="24"/>
          <w:szCs w:val="24"/>
        </w:rPr>
        <w:t>执法检查组将分成4个小组，在6月至8月分别赴山西、辽宁、黑龙江、新疆等4个省、自治区开展检查，同时委托北京、上海、浙江、安徽、广东、广西、重庆、贵州、陕西、甘肃等10个省（区、市）人大常委会对本行政区域内高等教育法的实施情况进行检查，并提供书面报告。今年10月下旬召开的十三届全国人大常委会会议将听取和审议检查高等教育法实施情况的报告。</w:t>
      </w:r>
      <w:r>
        <w:rPr>
          <w:rFonts w:ascii="宋体" w:eastAsia="宋体" w:hAnsi="宋体" w:cs="Times New Roman" w:hint="eastAsia"/>
          <w:sz w:val="24"/>
          <w:szCs w:val="24"/>
        </w:rPr>
        <w:t>（来源：教育部网站。2019年6月20日）</w:t>
      </w:r>
    </w:p>
    <w:p w:rsidR="00750754" w:rsidRDefault="00750754" w:rsidP="00750754">
      <w:pPr>
        <w:pStyle w:val="2"/>
        <w:jc w:val="center"/>
        <w:rPr>
          <w:rFonts w:ascii="宋体" w:eastAsia="宋体" w:hAnsi="宋体"/>
          <w:sz w:val="30"/>
          <w:szCs w:val="30"/>
        </w:rPr>
      </w:pPr>
      <w:bookmarkStart w:id="3" w:name="_Toc12291665"/>
      <w:r w:rsidRPr="00750754">
        <w:rPr>
          <w:rFonts w:ascii="宋体" w:eastAsia="宋体" w:hAnsi="宋体" w:hint="eastAsia"/>
          <w:sz w:val="30"/>
          <w:szCs w:val="30"/>
        </w:rPr>
        <w:lastRenderedPageBreak/>
        <w:t>国际人工智能与教育大会在京召开</w:t>
      </w:r>
      <w:bookmarkEnd w:id="3"/>
    </w:p>
    <w:p w:rsidR="00750754" w:rsidRPr="00750754" w:rsidRDefault="00750754" w:rsidP="00750754">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2019年5月16日</w:t>
      </w:r>
      <w:r w:rsidRPr="00750754">
        <w:rPr>
          <w:rFonts w:ascii="宋体" w:eastAsia="宋体" w:hAnsi="宋体" w:cs="Times New Roman" w:hint="eastAsia"/>
          <w:sz w:val="24"/>
          <w:szCs w:val="24"/>
        </w:rPr>
        <w:t>，国际人工智能与教育大会在北京召开。教育部部长陈宝生在发言中表示，人工智能是实现教育生态重构的有效手段，人工智能技术在教育中的深度广泛应用，将彻底改变教育的时空场景和供给水平，将实现信息共享、数据融通、业务协同、智能服务，推动教育整体运作流程改变，使规模化前提下的个性化和多元化教育成为可能，进而构建出一种新的灵活、开放、终身的个性化教育生态体系。</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陈宝生指出，“智能技术对教育行业的渗透打破了传统教育系统的固有生态，使其开始向智能教育的新形态迈进。在高度关注人工智能促进教育发展的同时，我们也要密切关注人工智能对教育带来的问题和挑战，如人机关系的伦理困境、个人隐私的滥用危机和新技术应用的数字鸿沟等。我们要秉持积极审慎的态度，踏踏实实走好未来智能教育发展之路。”</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一是普及之路。我们将把人工智能知识普及作为前提和基础。及时将人工智能的新技术、新知识、新变化提炼概括为新的话语体系，根据大中小学生的不同认知特点，让人工智能新技术、新知识进学科、进专业、进课程、进教材、进课堂、进教案，进学生头脑，让学生对人工智能有基本的意识、基本的概念、基本的素养、基本的兴趣。有了普及，就有了丰厚的土壤，就有可能长出参天大树。</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二是融合之路。人工智能是一项存在无限变量的技术。新创意、新技术、新产品将可能以超乎我们想象的速度增长。我们要立足人才培养、科学研究和教育管理的实际需求，建立起教育与人工智能产业的对接对话机制，将产业界的创新创造及时地转化为教育技术新产品，稳步推进包括智能教室、智能实验室、智能图书馆等设施的智慧校园建设，提供更多更优的人工智能教育的基础设施。</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三是变革之路。发挥好、利用好人工智能技术在推动学校教育教学变革、推动学校治理方式变革、推动终身在线学习中的作用。统筹建设一体化智能教育平台，建立教育教学数据支持体系，以智能技术创新人才培养模式、改革教学方法和教育评价体系，推动深度学习、跨界融合、人机协同、群智开放，助力实现因材施教，构建智能化的终身教育体系。</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四是创新之路。我们将把科技创新作为引领力量，深入开展智能教育应用战略研究，探索智能教育的发展战略、标准规范以及推进路径。同时，我们也会更</w:t>
      </w:r>
      <w:r w:rsidRPr="00750754">
        <w:rPr>
          <w:rFonts w:ascii="宋体" w:eastAsia="宋体" w:hAnsi="宋体" w:cs="Times New Roman" w:hint="eastAsia"/>
          <w:sz w:val="24"/>
          <w:szCs w:val="24"/>
        </w:rPr>
        <w:lastRenderedPageBreak/>
        <w:t>多地关注“数字公平”，发挥公共财政的主导作用、充分调动各方面特别是企业界、产业界的积极性，努力向农村地区、边远地区、贫困地区加大投入、配置更多资源、提供更优服务，让技术弥合差距、缩小鸿沟。</w:t>
      </w:r>
    </w:p>
    <w:p w:rsidR="00750754" w:rsidRPr="00750754" w:rsidRDefault="00750754" w:rsidP="00750754">
      <w:pPr>
        <w:spacing w:line="360" w:lineRule="auto"/>
        <w:ind w:firstLineChars="200" w:firstLine="480"/>
        <w:rPr>
          <w:rFonts w:ascii="宋体" w:eastAsia="宋体" w:hAnsi="宋体" w:cs="Times New Roman"/>
          <w:sz w:val="24"/>
          <w:szCs w:val="24"/>
        </w:rPr>
      </w:pPr>
      <w:r w:rsidRPr="00750754">
        <w:rPr>
          <w:rFonts w:ascii="宋体" w:eastAsia="宋体" w:hAnsi="宋体" w:cs="Times New Roman" w:hint="eastAsia"/>
          <w:sz w:val="24"/>
          <w:szCs w:val="24"/>
        </w:rPr>
        <w:t>陈宝生表示，面对时代带来的机遇和挑战，中国正在组织研制《中国智能教育发展方案》，谋划未来发展之路。</w:t>
      </w:r>
      <w:r w:rsidR="0016254D">
        <w:rPr>
          <w:rFonts w:ascii="宋体" w:eastAsia="宋体" w:hAnsi="宋体" w:cs="Times New Roman" w:hint="eastAsia"/>
          <w:sz w:val="24"/>
          <w:szCs w:val="24"/>
        </w:rPr>
        <w:t>（来源：《中国青年报》。2019年5月16日）</w:t>
      </w:r>
    </w:p>
    <w:p w:rsidR="0076610C" w:rsidRPr="00B3199D" w:rsidRDefault="0076610C" w:rsidP="0076610C">
      <w:pPr>
        <w:pStyle w:val="2"/>
        <w:jc w:val="center"/>
        <w:rPr>
          <w:rFonts w:ascii="宋体" w:eastAsia="宋体" w:hAnsi="宋体"/>
          <w:sz w:val="30"/>
          <w:szCs w:val="30"/>
        </w:rPr>
      </w:pPr>
      <w:r w:rsidRPr="00B3199D">
        <w:rPr>
          <w:rFonts w:ascii="宋体" w:eastAsia="宋体" w:hAnsi="宋体" w:hint="eastAsia"/>
          <w:sz w:val="30"/>
          <w:szCs w:val="30"/>
        </w:rPr>
        <w:t xml:space="preserve"> </w:t>
      </w:r>
      <w:bookmarkStart w:id="4" w:name="_Toc12291666"/>
      <w:r w:rsidRPr="00B3199D">
        <w:rPr>
          <w:rFonts w:ascii="宋体" w:eastAsia="宋体" w:hAnsi="宋体" w:hint="eastAsia"/>
          <w:sz w:val="30"/>
          <w:szCs w:val="30"/>
        </w:rPr>
        <w:t>“六卓越一拔尖”计划2.0启动</w:t>
      </w:r>
      <w:r>
        <w:rPr>
          <w:rFonts w:ascii="宋体" w:eastAsia="宋体" w:hAnsi="宋体" w:hint="eastAsia"/>
          <w:sz w:val="30"/>
          <w:szCs w:val="30"/>
        </w:rPr>
        <w:t>大会召开</w:t>
      </w:r>
      <w:bookmarkEnd w:id="4"/>
    </w:p>
    <w:p w:rsidR="0076610C" w:rsidRPr="00B3199D" w:rsidRDefault="0076610C" w:rsidP="0076610C">
      <w:pPr>
        <w:spacing w:line="360" w:lineRule="auto"/>
        <w:ind w:firstLineChars="200" w:firstLine="480"/>
        <w:rPr>
          <w:rFonts w:ascii="宋体" w:eastAsia="宋体" w:hAnsi="宋体" w:cs="Times New Roman"/>
          <w:sz w:val="24"/>
          <w:szCs w:val="24"/>
        </w:rPr>
      </w:pPr>
      <w:r w:rsidRPr="00B3199D">
        <w:rPr>
          <w:rFonts w:ascii="宋体" w:eastAsia="宋体" w:hAnsi="宋体" w:cs="Times New Roman" w:hint="eastAsia"/>
          <w:sz w:val="24"/>
          <w:szCs w:val="24"/>
        </w:rPr>
        <w:t>4月29日，教育部、中央政法委、科技部、工业和信息化部、财政部、农业农村部、卫生健康委、中科院、社科院、工程院、林草局、中医药局、中国科协在天津联合召开“六卓越一拔尖”计划2.0启动大会。会议强调，要深入学习贯彻习近平新时代中国特色社会主义思想，全面贯彻落实全国教育大会精神，按照《加快推进教育现代化实施方案（2018—2022年）》要求，全面实施“六卓越一拔尖”计划2.0，发展新工科、新医科、新农科、新文科，推动全国高校掀起一场“质量革命”，形成覆盖高等教育全领域的“质量中国”品牌，打赢全面振兴本科教育攻坚战。教育部党组书记、部长陈宝生出席会议并讲话。天津市委副书记、市长张国清出席会议并致辞。</w:t>
      </w:r>
    </w:p>
    <w:p w:rsidR="0076610C" w:rsidRPr="00B3199D" w:rsidRDefault="0076610C" w:rsidP="0076610C">
      <w:pPr>
        <w:spacing w:line="360" w:lineRule="auto"/>
        <w:ind w:firstLineChars="200" w:firstLine="480"/>
        <w:rPr>
          <w:rFonts w:ascii="宋体" w:eastAsia="宋体" w:hAnsi="宋体" w:cs="Times New Roman"/>
          <w:sz w:val="24"/>
          <w:szCs w:val="24"/>
        </w:rPr>
      </w:pPr>
      <w:r w:rsidRPr="00B3199D">
        <w:rPr>
          <w:rFonts w:ascii="宋体" w:eastAsia="宋体" w:hAnsi="宋体" w:cs="Times New Roman" w:hint="eastAsia"/>
          <w:sz w:val="24"/>
          <w:szCs w:val="24"/>
        </w:rPr>
        <w:t>陈宝生指出，2009年启动实施系列卓越拔尖人才教育培养计划以来，为经济社会发展提供了有力的人才支撑。当前，我国高等教育已经从规模扩张全面转向内涵式发展，启动实施“六卓越一拔尖”计划2.0，将原先的单个计划变成系列计划的组合，由“单兵作战”转向“集体发力”，标志着高等教育改革发展走向成型成熟，标志着中国高等教育从跟随跟跑转到部分领域并跑领跑，是新时代中国高等教育写好“奋进之笔”的一次“质量革命”，体现了高等教育内涵发展的新要求，具有重要意义。</w:t>
      </w:r>
    </w:p>
    <w:p w:rsidR="0076610C" w:rsidRPr="00B3199D" w:rsidRDefault="0076610C" w:rsidP="0076610C">
      <w:pPr>
        <w:spacing w:line="360" w:lineRule="auto"/>
        <w:ind w:firstLineChars="200" w:firstLine="480"/>
        <w:rPr>
          <w:rFonts w:ascii="宋体" w:eastAsia="宋体" w:hAnsi="宋体" w:cs="Times New Roman"/>
          <w:sz w:val="24"/>
          <w:szCs w:val="24"/>
        </w:rPr>
      </w:pPr>
      <w:r w:rsidRPr="00B3199D">
        <w:rPr>
          <w:rFonts w:ascii="宋体" w:eastAsia="宋体" w:hAnsi="宋体" w:cs="Times New Roman" w:hint="eastAsia"/>
          <w:sz w:val="24"/>
          <w:szCs w:val="24"/>
        </w:rPr>
        <w:t>陈宝生指出，高教战线要把“六卓越一拔尖”计划2.0作为新时代全面振兴本科教育、打造高等教育“质量中国”的战略一招、关键一招、创新一招，继续推动全面振兴本科教育往实里做、往细里走、往深里去，真正把高等教育的质量立起来。一是立足新时代，强化担当意识。要把强化担当意识作为人才培养工作的首要要求，用“四个意识”导航，用“四个自信”强基，用“两个维护”铸魂，紧紧扭住“两个根本”，牢牢把握“提高质量、推进公平”两大时代命题，真正</w:t>
      </w:r>
      <w:r w:rsidRPr="00B3199D">
        <w:rPr>
          <w:rFonts w:ascii="宋体" w:eastAsia="宋体" w:hAnsi="宋体" w:cs="Times New Roman" w:hint="eastAsia"/>
          <w:sz w:val="24"/>
          <w:szCs w:val="24"/>
        </w:rPr>
        <w:lastRenderedPageBreak/>
        <w:t>担当起教育是国之大计、党之大计的新时代责任。二是面向新变革，强化战略思维。要主动适应新技术、新业态、新模式、新产业的需求，加快布局未来战略必争领域的人才培养，更多样化、更综合化、更集群化、更智能化、更国际化，推动并引领新一轮产业变革。三是创造新模式，强化创新精神。要强化创新精神，按照提高质量、优化结构、守正创新的原则，大力发展新工科、新医科、新农科、新文科，建设高水平本科教育，在竞争日益激烈的世界高等教育中站稳脚跟。四是提升新内涵，强化质量效果。要把人才培养的质量和效果作为检验高校办学水平的根本标准，做到标准先行、评价护航、文化为魂。</w:t>
      </w:r>
    </w:p>
    <w:p w:rsidR="0076610C" w:rsidRPr="00B3199D" w:rsidRDefault="0076610C" w:rsidP="0076610C">
      <w:pPr>
        <w:spacing w:line="360" w:lineRule="auto"/>
        <w:ind w:firstLineChars="200" w:firstLine="480"/>
        <w:rPr>
          <w:rFonts w:ascii="宋体" w:eastAsia="宋体" w:hAnsi="宋体" w:cs="Times New Roman"/>
          <w:sz w:val="24"/>
          <w:szCs w:val="24"/>
        </w:rPr>
      </w:pPr>
      <w:r w:rsidRPr="00B3199D">
        <w:rPr>
          <w:rFonts w:ascii="宋体" w:eastAsia="宋体" w:hAnsi="宋体" w:cs="Times New Roman" w:hint="eastAsia"/>
          <w:sz w:val="24"/>
          <w:szCs w:val="24"/>
        </w:rPr>
        <w:t>陈宝生强调，世界高等教育正处于深刻的根本性变革之中，我们必须超前识变、积极应变、主动求变，强化使命感、责任感、奋进感，坚持“以本为本”，推进“四个回归”，把“六卓越一拔尖”计划的各项任务落到实处，打赢全面振兴本科教育攻坚战。要打好组合拳，聚焦本科教育的关键点，巩固已有改革成果，抓好当前工作重点，着力构建长效机制。要打造生力军，立足当下、面向明天，抓好卓越拔尖人才培养。要打开突破口，紧扣学生学好、老师教好、学校管好三个关键，让学生忙起来、教学活起来、管理严起来、课程实起来、学科特起来，让新时代本科教育高起来、强起来、亮起来、好起来、香起来。</w:t>
      </w:r>
    </w:p>
    <w:p w:rsidR="0076610C" w:rsidRDefault="0076610C" w:rsidP="0076610C">
      <w:pPr>
        <w:spacing w:line="360" w:lineRule="auto"/>
        <w:ind w:firstLineChars="200" w:firstLine="480"/>
        <w:rPr>
          <w:rFonts w:ascii="宋体" w:eastAsia="宋体" w:hAnsi="宋体" w:cs="Times New Roman"/>
          <w:sz w:val="24"/>
          <w:szCs w:val="24"/>
        </w:rPr>
      </w:pPr>
      <w:r w:rsidRPr="00B3199D">
        <w:rPr>
          <w:rFonts w:ascii="宋体" w:eastAsia="宋体" w:hAnsi="宋体" w:cs="Times New Roman" w:hint="eastAsia"/>
          <w:sz w:val="24"/>
          <w:szCs w:val="24"/>
        </w:rPr>
        <w:t>会上，陈宝生为新工科、新医科、新农科、新文科建设工作组组长、拔尖计划专家委员会主任颁发聘书。教育部依托天津大学成立的“全国新工科教育创新中心”正式揭牌。</w:t>
      </w:r>
      <w:r>
        <w:rPr>
          <w:rFonts w:ascii="宋体" w:eastAsia="宋体" w:hAnsi="宋体" w:cs="Times New Roman" w:hint="eastAsia"/>
          <w:sz w:val="24"/>
          <w:szCs w:val="24"/>
        </w:rPr>
        <w:t>（来源：教育部网站。2019年4月29日）</w:t>
      </w:r>
    </w:p>
    <w:p w:rsidR="00B951E1" w:rsidRDefault="00B951E1" w:rsidP="00B951E1">
      <w:pPr>
        <w:pStyle w:val="2"/>
        <w:jc w:val="center"/>
        <w:rPr>
          <w:rFonts w:ascii="宋体" w:eastAsia="宋体" w:hAnsi="宋体"/>
          <w:sz w:val="30"/>
          <w:szCs w:val="30"/>
        </w:rPr>
      </w:pPr>
      <w:bookmarkStart w:id="5" w:name="_Toc12291667"/>
      <w:r w:rsidRPr="00B951E1">
        <w:rPr>
          <w:rFonts w:ascii="宋体" w:eastAsia="宋体" w:hAnsi="宋体" w:hint="eastAsia"/>
          <w:sz w:val="30"/>
          <w:szCs w:val="30"/>
        </w:rPr>
        <w:t>河南省委省政府召开全省教育大会</w:t>
      </w:r>
      <w:bookmarkEnd w:id="5"/>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4月29日，省委、省政府召开全省教育大会，深入学习贯彻习近平总书记关于教育的重要论述和全国教育大会精神，动员全省上下围绕立德树人这一根本任务，强措施、补短板、提质量，加快推进教育现代化，建设教育强省，办好人民满意的教育，为中原更加出彩提供强大支撑。省委书记王国生、省长陈润儿、教育部副部长郑富芝出席会议并讲话，省政协主席刘伟出席会议，省委副书记喻红秋主持会议。</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孙守刚、任正晓、李亚、黄强、马懿、穆为民、江凌、赵素萍、乔新江、霍金花、刘炯天出席会议。</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lastRenderedPageBreak/>
        <w:t>会议指出，习近平总书记在全国教育大会上发表的重要讲话，就关系我国教育现代化的重大问题进行了深刻阐述，强调教育是国之大计、党之大计，指出教育的根本任务是立德树人，工作目标是凝聚人心、完善人格、开发人力、培育人才、造福人民，为我们加快推进教育现代化、建设教育强省指明了方向、提供了遵循。我们要把学习领会习近平总书记重要讲话精神，与总书记关于教育的一系列重要论述贯通起来理解，顺应发展所需、回应人民所盼，带着深厚感情，扛稳重大责任，把准正确方向，细化实化措施，抓好补短板、提质量双重任务，形成尊师重教浓厚氛围，加快推进教育现代化、建设教育强省、办好人民满意的教育。</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总结了党的十八大以来我省教育事业改革发展成就，分析了教育工作所面临的形势任务。会议认为，在以习近平同志为核心的党中央坚强领导下，省委、省政府坚定实施科教兴豫、人才强省战略，坚持教育优先发展，围绕补短板、强弱项、提质量、促改革，出台了一系列政策，采取了一系列措施，全省教育事业取得了长足进步，教育系统党的建设得到新加强，教育发展水平迈上新台阶，教育改革取得新进展，教育服务发展能力有了新提升，人民群众获得感明显增强。同时要清醒认识到，我省教育大而不强，发展不平衡不充分的问题尤为突出。我们要聚焦全面建设社会主义现代化，深刻把握新时代的形势要求，深入学习领会习近平总书记关于教育的重要论述，增强责任感和紧迫感，下好教育优先发展这步重要的先手棋，坚定不移推进教育现代化、建设教育强省。</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强调，推进教育现代化，要深刻把握教育的政治属性，把为党育人的鲜明底色越擦越亮；深刻把握教育服务高质量发展的时代重任，以人才之基支撑高质量发展；深刻把握我国社会主要矛盾变化对教育公平的热切呼唤，牢牢扛稳办好人民满意教育的重大责任；深刻把握我省教育补短板、提质量的双重任务，采取超常规举措加以解决。各级党委政府要以更高站位、更宽视野、更远眼光谋划教育发展，有“功成不必在我”的境界和“功成必定有我”的担当，用真金白银的投入、改革创新的办法抓好教育工作，在推进教育现代化中争先进位。</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强调，要聚焦立德树人，抓牢加快教育现代化、建设教育强省的根本任务。要把立德树人融入思想道德教育、文化知识教育、社会实践教育各环节，贯穿基础教育、高等教育、职业教育各领域，健全全员育人、全过程育人、全方位育人的体制机制，培养社会主义建设者和接班人。要加快构建德智体美劳全面培</w:t>
      </w:r>
      <w:r w:rsidRPr="00B951E1">
        <w:rPr>
          <w:rFonts w:ascii="宋体" w:eastAsia="宋体" w:hAnsi="宋体" w:cs="Times New Roman" w:hint="eastAsia"/>
          <w:sz w:val="24"/>
          <w:szCs w:val="24"/>
        </w:rPr>
        <w:lastRenderedPageBreak/>
        <w:t>养的教育体系，特别是要把德育摆在首要位置，坚持抓早抓小，帮助学生扣好人生第一粒扣子；注重实践养成，引导学生在知行合一中提升素质；突出齐抓共管，形成家庭、学校、社会紧密衔接的完整育人链条。要切实加强学校思想政治工作，用好思政课这个主渠道，占领网络这个主战场，守牢意识形态安全这个底线。要建设高素质专业化创新型教师队伍，加强师德师风建设，持续提升教师专业能力。</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强调，要紧盯重点难点，不断把加快教育现代化、建设教育强省推向深入。要瞄准教育高质量发展这一核心要求，让现代教育理念真正领起来、科学评价体系真正树起来、教育工作各项标准真正高起来。要补齐基本公共教育服务均等化这一突出短板，缩小区域差距，缩小城乡差距，缩小校际差距，缩小群体差距。要抓住让教师安心从教、潜心从教这一关键所在，解决好教师编制、职称、待遇、住房保障等问题，让尊师重教的风气更加浓厚，让教师的获得感实实在在。要激活体制机制改革这一动力活力，在办学体制、管理体制上深化教育综合改革，深化人才体制机制改革，扩大教育开放。要发挥服务经济社会发展这一重要职能，造就大量人才，强化创新型人才、应用型人才、技术技能型人才培养。要提升科技创新能力，加强高校科研和社会需求的联动，提升成果转化率。要发挥新型智库作用，加强前瞻性、针对性、储备性战略研究，当好党委政府决策的“思想库”。</w:t>
      </w:r>
    </w:p>
    <w:p w:rsidR="00B951E1" w:rsidRP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强调，要科学统筹，推进各类教育协调发展。积极推进建设提标行动、改薄提速行动、教学提质行动、控辍提“率”行动，夯实义务教育根基，促进优质均衡发展。要着力推动“三个转变”、建好“三项机制”、抓好“三项重点”，巩固职业教育优势，促进产教融合发展。要突出特色分类发展，抓好重点学科建设，提高创新应用能力，创新人才培养模式，提升高等教育水平，促进内涵提质发展。要完善教师教育培养体系，树立师范院校办学理念，加大师范院校支持力度，改进师范院校招生制度，强化师范教育引领，促进教育优先发展。</w:t>
      </w:r>
    </w:p>
    <w:p w:rsidR="00B951E1" w:rsidRDefault="00B951E1" w:rsidP="00B951E1">
      <w:pPr>
        <w:spacing w:line="360" w:lineRule="auto"/>
        <w:ind w:firstLineChars="200" w:firstLine="480"/>
        <w:rPr>
          <w:rFonts w:ascii="宋体" w:eastAsia="宋体" w:hAnsi="宋体" w:cs="Times New Roman"/>
          <w:sz w:val="24"/>
          <w:szCs w:val="24"/>
        </w:rPr>
      </w:pPr>
      <w:r w:rsidRPr="00B951E1">
        <w:rPr>
          <w:rFonts w:ascii="宋体" w:eastAsia="宋体" w:hAnsi="宋体" w:cs="Times New Roman" w:hint="eastAsia"/>
          <w:sz w:val="24"/>
          <w:szCs w:val="24"/>
        </w:rPr>
        <w:t>会议强调，要加强党的全面领导，为加快教育现代化、建设教育强省提供坚强保证。各级党委政府和教育系统要全面贯彻党的教育方针，牢牢坚持社会主义办学方向，使各级各类学校始终成为坚持党的领导的坚强阵地，始终成为培养社会主义事业建设者和接班人的坚强阵地。要把教育优先发展战略落到实处，切实做到在经济社会发展规划上优先安排教育，在财政资金投入上优先保障教育，在公共资源配置上优先满足教育。要抓实学校党的建设，把党的领导贯穿于办学治</w:t>
      </w:r>
      <w:r w:rsidRPr="00B951E1">
        <w:rPr>
          <w:rFonts w:ascii="宋体" w:eastAsia="宋体" w:hAnsi="宋体" w:cs="Times New Roman" w:hint="eastAsia"/>
          <w:sz w:val="24"/>
          <w:szCs w:val="24"/>
        </w:rPr>
        <w:lastRenderedPageBreak/>
        <w:t>校、教书育人全过程。要扎实做好校园安全工作，做到警钟长鸣、一刻不松。要营造教育改革发展的良好氛围，推动社会各界更加自觉地尊师重教、助学兴教。通过全省上下共同努力，不断开创教育改革发展新局面，为谱写新时代中原更加出彩的绚丽篇章作出更大贡献。</w:t>
      </w:r>
      <w:r w:rsidR="008C6B56">
        <w:rPr>
          <w:rFonts w:ascii="宋体" w:eastAsia="宋体" w:hAnsi="宋体" w:cs="Times New Roman" w:hint="eastAsia"/>
          <w:sz w:val="24"/>
          <w:szCs w:val="24"/>
        </w:rPr>
        <w:t>（来源：河南省教育厅网</w:t>
      </w:r>
      <w:r w:rsidR="00CB448A">
        <w:rPr>
          <w:rFonts w:ascii="宋体" w:eastAsia="宋体" w:hAnsi="宋体" w:cs="Times New Roman" w:hint="eastAsia"/>
          <w:sz w:val="24"/>
          <w:szCs w:val="24"/>
        </w:rPr>
        <w:t>站</w:t>
      </w:r>
      <w:r w:rsidR="008C6B56">
        <w:rPr>
          <w:rFonts w:ascii="宋体" w:eastAsia="宋体" w:hAnsi="宋体" w:cs="Times New Roman" w:hint="eastAsia"/>
          <w:sz w:val="24"/>
          <w:szCs w:val="24"/>
        </w:rPr>
        <w:t>。2019年5月1日）</w:t>
      </w:r>
    </w:p>
    <w:p w:rsidR="00C40816" w:rsidRDefault="00C40816" w:rsidP="00C40816">
      <w:pPr>
        <w:pStyle w:val="2"/>
        <w:jc w:val="center"/>
        <w:rPr>
          <w:rFonts w:ascii="宋体" w:eastAsia="宋体" w:hAnsi="宋体"/>
          <w:sz w:val="30"/>
          <w:szCs w:val="30"/>
        </w:rPr>
      </w:pPr>
      <w:bookmarkStart w:id="6" w:name="_Toc12291668"/>
      <w:r w:rsidRPr="00C40816">
        <w:rPr>
          <w:rFonts w:ascii="宋体" w:eastAsia="宋体" w:hAnsi="宋体" w:hint="eastAsia"/>
          <w:sz w:val="30"/>
          <w:szCs w:val="30"/>
        </w:rPr>
        <w:t>全省应用技术类型本科院校建设工作现场推进会召开</w:t>
      </w:r>
      <w:bookmarkEnd w:id="6"/>
    </w:p>
    <w:p w:rsidR="00C40816" w:rsidRDefault="00C40816" w:rsidP="00C40816">
      <w:pPr>
        <w:spacing w:line="360" w:lineRule="auto"/>
        <w:ind w:firstLineChars="200" w:firstLine="480"/>
        <w:rPr>
          <w:rFonts w:ascii="宋体" w:eastAsia="宋体" w:hAnsi="宋体" w:cs="Times New Roman"/>
          <w:sz w:val="24"/>
          <w:szCs w:val="24"/>
        </w:rPr>
      </w:pPr>
      <w:r w:rsidRPr="00C40816">
        <w:rPr>
          <w:rFonts w:ascii="宋体" w:eastAsia="宋体" w:hAnsi="宋体" w:cs="Times New Roman" w:hint="eastAsia"/>
          <w:sz w:val="24"/>
          <w:szCs w:val="24"/>
        </w:rPr>
        <w:t xml:space="preserve">6月20日至21日，全省应用技术类型本科院校建设工作现场推进会在平顶山学院召开。省教育厅党组书记、厅长郑邦山，省委改革办副主任胡彦宏，平顶山市人民政府市长张雷明，平顶山学院党委书记王文鹏、院长苏晓红出席开幕会议。省教育厅副厅长陈垠亭出席总结会议并讲话。全省37所应用型本科院校及相关职能部门负责人138人参加会议。  　　</w:t>
      </w:r>
    </w:p>
    <w:p w:rsidR="00C40816" w:rsidRDefault="00C40816" w:rsidP="00C40816">
      <w:pPr>
        <w:spacing w:line="360" w:lineRule="auto"/>
        <w:ind w:firstLineChars="200" w:firstLine="480"/>
        <w:rPr>
          <w:rFonts w:ascii="宋体" w:eastAsia="宋体" w:hAnsi="宋体" w:cs="Times New Roman"/>
          <w:sz w:val="24"/>
          <w:szCs w:val="24"/>
        </w:rPr>
      </w:pPr>
      <w:r w:rsidRPr="00C40816">
        <w:rPr>
          <w:rFonts w:ascii="宋体" w:eastAsia="宋体" w:hAnsi="宋体" w:cs="Times New Roman" w:hint="eastAsia"/>
          <w:sz w:val="24"/>
          <w:szCs w:val="24"/>
        </w:rPr>
        <w:t xml:space="preserve">会议分为专家学术报告、实地观摩和示范校建设工作汇报等内容，目的是学习贯彻全省教育大会精神，集中展示我省高校转型发展和示范性应用技术类型本科院校建设成果，总结、交流示范校建设工作经验，推动下一阶段应用型本科院校建设重点工作。  　　</w:t>
      </w:r>
    </w:p>
    <w:p w:rsidR="00C40816" w:rsidRDefault="00C40816" w:rsidP="00C40816">
      <w:pPr>
        <w:spacing w:line="360" w:lineRule="auto"/>
        <w:ind w:firstLineChars="200" w:firstLine="480"/>
        <w:rPr>
          <w:rFonts w:ascii="宋体" w:eastAsia="宋体" w:hAnsi="宋体" w:cs="Times New Roman"/>
          <w:sz w:val="24"/>
          <w:szCs w:val="24"/>
        </w:rPr>
      </w:pPr>
      <w:r w:rsidRPr="00C40816">
        <w:rPr>
          <w:rFonts w:ascii="宋体" w:eastAsia="宋体" w:hAnsi="宋体" w:cs="Times New Roman" w:hint="eastAsia"/>
          <w:sz w:val="24"/>
          <w:szCs w:val="24"/>
        </w:rPr>
        <w:t>就加快推进我省应用型本科高校创新提质发展，郑邦山在会上提出三点意见。一要认真学习贯彻全省教育大会精神，增强加快建设高水平应用型本科院校的责任感使命感。二要深入总结转型发展经验，准确把握应用型本科院校建设的新形势与新问题。一是凝神聚力谋划转型，提前谋划、积极引导，是我省应用型本科高校建设走在全国前列的重要经验。二是试点先行探索转型，是我省探索应用型高校建设迈出的第一步，我省先后遴选了两批15所本科转型发展试点学校，树立了“亲近地方、亲近产业”的办学思路，依托校企合作发展平台，促使产教深层次融合。三是示范引领带动转型，示范校的建设是我省应用型高校建设的一个有效抓手，各示范校建设能及时把握高等教育改革大势，全面深化内部改革，凝练出既符合应用型本科高校一般发展规律又体现自身特色的办学理念、办学定位，办学质量得到显著提升。四是政策保障支持转型。推动高校转型发展以来，省财政累计投入专项资金4.7亿元，鼓励和支持个转型院校面向经济社会发展，积极构建与我省产业转型、新型城镇化建设、民生改善需要更加适应，结构更加合理，特色更加鲜明的学科专业体系，并在人才培养、创新创业教育、实验实训等方面</w:t>
      </w:r>
      <w:r w:rsidRPr="00C40816">
        <w:rPr>
          <w:rFonts w:ascii="宋体" w:eastAsia="宋体" w:hAnsi="宋体" w:cs="Times New Roman" w:hint="eastAsia"/>
          <w:sz w:val="24"/>
          <w:szCs w:val="24"/>
        </w:rPr>
        <w:lastRenderedPageBreak/>
        <w:t xml:space="preserve">成效突出。三要不忘初心，牢记使命，扎实推进我省应用型本科高校创新提质发展再上新台阶。深刻领会“不忘初心、牢记使命”主题教育的精神实质和部署要求，不忘转型发展的初心，牢记建设应用型高校的使命，奋力推进本科院校转型发展再上新台阶，创建高水平应用型本科，书写好新时代河南教育的“奋进之笔”，为新时代中原更加出彩作出新的更大的贡献。  　　</w:t>
      </w:r>
    </w:p>
    <w:p w:rsidR="00C40816" w:rsidRDefault="00C40816" w:rsidP="00C40816">
      <w:pPr>
        <w:spacing w:line="360" w:lineRule="auto"/>
        <w:ind w:firstLineChars="200" w:firstLine="480"/>
        <w:rPr>
          <w:rFonts w:ascii="宋体" w:eastAsia="宋体" w:hAnsi="宋体" w:cs="Times New Roman"/>
          <w:sz w:val="24"/>
          <w:szCs w:val="24"/>
        </w:rPr>
      </w:pPr>
      <w:r w:rsidRPr="00C40816">
        <w:rPr>
          <w:rFonts w:ascii="宋体" w:eastAsia="宋体" w:hAnsi="宋体" w:cs="Times New Roman" w:hint="eastAsia"/>
          <w:sz w:val="24"/>
          <w:szCs w:val="24"/>
        </w:rPr>
        <w:t xml:space="preserve">胡彦宏指出，省委始终把深化高等教育综合改革，推动地方高校实现内涵式发展摆在重要的位置，深入谋划、综合施策、加力推进。我省通过遴选转型改革试点，以点带面，推动更多高校在产学研一体化中，实现高校与地方经济社会协同发展。省委改革办将积极开展产教融合城市、学校和企业试点，支持建设一批产教融合实训基地，为我省巩固职业教育建设成果、促进我省高校实现内涵式发展当好改革先锋。  　　</w:t>
      </w:r>
    </w:p>
    <w:p w:rsidR="00C40816" w:rsidRDefault="00C40816" w:rsidP="00C40816">
      <w:pPr>
        <w:spacing w:line="360" w:lineRule="auto"/>
        <w:ind w:firstLineChars="200" w:firstLine="480"/>
        <w:rPr>
          <w:rFonts w:ascii="宋体" w:eastAsia="宋体" w:hAnsi="宋体" w:cs="Times New Roman"/>
          <w:sz w:val="24"/>
          <w:szCs w:val="24"/>
        </w:rPr>
      </w:pPr>
      <w:r w:rsidRPr="00C40816">
        <w:rPr>
          <w:rFonts w:ascii="宋体" w:eastAsia="宋体" w:hAnsi="宋体" w:cs="Times New Roman" w:hint="eastAsia"/>
          <w:sz w:val="24"/>
          <w:szCs w:val="24"/>
        </w:rPr>
        <w:t>张雷明指出，平顶山学院作为省市共建、以市为主的本科高校，紧紧抓住国家和省推进地方本科院校转型发展的机遇，围绕平顶山高质量转型发展的需要，优化专业结构，创新人才培养模式，大力开展应用研究，培养了一大批地方用得上、下得去、留得住的高素质应用型人才，转化了一批应用成果，为平顶山市高质量发展作出了积极贡献。平顶山市将以此为契机，进一步深化办学体制和教育管理的改革、推进教育治理体系和治理能力现代化，认真落实发展高等教育的各项政策措施，进一步加大对平顶山学院的支持，努力创造良好的条件和环境。</w:t>
      </w:r>
    </w:p>
    <w:p w:rsidR="00C40816" w:rsidRPr="00C40816" w:rsidRDefault="00C40816" w:rsidP="00C40816">
      <w:pPr>
        <w:spacing w:line="360" w:lineRule="auto"/>
        <w:ind w:firstLineChars="200" w:firstLine="480"/>
      </w:pPr>
      <w:r w:rsidRPr="00C40816">
        <w:rPr>
          <w:rFonts w:ascii="宋体" w:eastAsia="宋体" w:hAnsi="宋体" w:cs="Times New Roman" w:hint="eastAsia"/>
          <w:sz w:val="24"/>
          <w:szCs w:val="24"/>
        </w:rPr>
        <w:t>陈垠亭在总结讲话中提出三点要求：一是理想信念不能动摇。我省高度重视应用技术类型本科院校建设，应用型大学建设开展理论研究，同时，十所示范校作为一个示范引领的整体，发挥了较好的辐射带动作用，进一步增强了我们建设高水平应用型大学的决心和信心。二是问题短板不能忽视。在应用型大学建设及推动普通本科高校向应用技术型高校转型方面，特别是要在产教融合的深度，校企合作的力度，双师双能型教师队伍建等方面还需要进一步下功夫。三是创新提升不能停步。要加大支持力度统筹推动应用型高校建设，着力推动产教深度融合发展，努力提升高校服务区域发展能力，加快推动高水平应用型高校建设，强化应用型高校建设保障措施。</w:t>
      </w:r>
      <w:r w:rsidR="00BD3CB6">
        <w:rPr>
          <w:rFonts w:ascii="宋体" w:eastAsia="宋体" w:hAnsi="宋体" w:cs="Times New Roman" w:hint="eastAsia"/>
          <w:sz w:val="24"/>
          <w:szCs w:val="24"/>
        </w:rPr>
        <w:t>(来源：河南省教育厅网站。2019年6月21日)</w:t>
      </w:r>
    </w:p>
    <w:p w:rsidR="00B3199D" w:rsidRDefault="0076610C" w:rsidP="0076610C">
      <w:pPr>
        <w:spacing w:line="360" w:lineRule="auto"/>
        <w:rPr>
          <w:rFonts w:ascii="宋体" w:hAnsi="宋体"/>
          <w:b/>
          <w:sz w:val="30"/>
          <w:szCs w:val="30"/>
        </w:rPr>
      </w:pPr>
      <w:r w:rsidRPr="00B23FAD">
        <w:rPr>
          <w:rFonts w:ascii="宋体" w:eastAsia="宋体" w:hAnsi="宋体" w:cs="Times New Roman" w:hint="eastAsia"/>
          <w:b/>
          <w:sz w:val="30"/>
          <w:szCs w:val="30"/>
        </w:rPr>
        <w:t>高教研究</w:t>
      </w:r>
    </w:p>
    <w:p w:rsidR="0076610C" w:rsidRPr="00670F0B" w:rsidRDefault="0076610C" w:rsidP="0076610C">
      <w:pPr>
        <w:pStyle w:val="2"/>
        <w:jc w:val="center"/>
        <w:rPr>
          <w:rFonts w:ascii="宋体" w:eastAsia="宋体" w:hAnsi="宋体"/>
          <w:sz w:val="30"/>
          <w:szCs w:val="30"/>
        </w:rPr>
      </w:pPr>
      <w:bookmarkStart w:id="7" w:name="_Toc12291669"/>
      <w:r w:rsidRPr="00670F0B">
        <w:rPr>
          <w:rFonts w:ascii="宋体" w:eastAsia="宋体" w:hAnsi="宋体" w:hint="eastAsia"/>
          <w:sz w:val="30"/>
          <w:szCs w:val="30"/>
        </w:rPr>
        <w:lastRenderedPageBreak/>
        <w:t>学科交叉融合呼唤高校联合聘任</w:t>
      </w:r>
      <w:bookmarkEnd w:id="7"/>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当前，社会进入前所未有的快速发展期，问题复杂化程度不断加深，依靠单一学科领域的知识已经无法有效解决，以问题为导向、开展交叉学科的研究成为科学研究的重要发展趋势。现代重大突破性研究成果的取得有很多是建立在多个学科高度交叉融合的基础之上。而教师联合聘任是推进学科交叉和跨领域协同创新、促进重大成果产生和创新生态系统形成的重要抓手。我们迫切需要破除交叉学科教师联合聘任的制度性障碍，充分调动院系和教师联聘的积极性，促进学科交叉融合和学科竞争力持续提升。</w:t>
      </w:r>
    </w:p>
    <w:p w:rsidR="0076610C" w:rsidRPr="00670F0B" w:rsidRDefault="0076610C" w:rsidP="0076610C">
      <w:pPr>
        <w:spacing w:line="360" w:lineRule="auto"/>
        <w:ind w:firstLineChars="200" w:firstLine="482"/>
        <w:rPr>
          <w:rFonts w:ascii="宋体" w:eastAsia="宋体" w:hAnsi="宋体" w:cs="Times New Roman"/>
          <w:b/>
          <w:sz w:val="24"/>
          <w:szCs w:val="24"/>
        </w:rPr>
      </w:pPr>
      <w:r w:rsidRPr="00670F0B">
        <w:rPr>
          <w:rFonts w:ascii="宋体" w:eastAsia="宋体" w:hAnsi="宋体" w:cs="Times New Roman" w:hint="eastAsia"/>
          <w:b/>
          <w:sz w:val="24"/>
          <w:szCs w:val="24"/>
        </w:rPr>
        <w:t>探索期的掣肘</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我国高校受现有院系和学科框架的掣肘，教师联合聘任工作在跨学科人才培养、资源共享、重大项目申报等方面未能有效打通，在联合聘任规模和质量上未能形成对我国高校学科交叉融合共享战略布局的有力支撑。</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学部、院系联合聘任的需求没有充分激发。尽管高校高度重视学科交叉建设，但是多数学校特别是院系尚未从学科交叉战略布局出发，对联聘工作进行深入思考和顶层设计，缺乏清晰明确的学科交叉发展计划和联聘岗位需求规划。此外，学部、院系为规避联合聘任工作带来的资源分配和额外管理工作压力，对联合聘任工作并不积极。</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教师联合聘任积极性尚未被释放。很多高校虽然积极推进交叉学科建设，但对学科交叉融合和教师联合聘任的政策并不明朗，也缺乏必要的宣传。因此，教师对联合聘任持观望态度。实质上已开展跨学科合作研究的教师，在现有学科资源分配框架下，申报联合聘任也动力不足。部分没有学科点的实体性研究院教师虽然联合聘任积极性很高，但受院系学科框架限制，联合聘任工作存在一定困难。</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成果认定及资源分配等运行机制亟待完善。目前我国高校有关学科交叉和教师联合聘任的政策是框架性的、原则性的。现存的职称晋升等人才评价制度和研究生招生指标等资源分配制度是按照传统院系、学科体系制定的，并没有考虑交叉学科的问题，不适合构建开放式一流学科体系。如成果认定上只认第一作者，学科间教学、科研资源不能有效共享，研究生招生指标、各种人才计划指标和学生跨学科培养未能有效打通，业绩评价、薪酬分配和职称晋升等未能突破原有院系框架。</w:t>
      </w:r>
    </w:p>
    <w:p w:rsidR="0076610C" w:rsidRPr="00670F0B" w:rsidRDefault="0076610C" w:rsidP="0076610C">
      <w:pPr>
        <w:spacing w:line="360" w:lineRule="auto"/>
        <w:ind w:firstLineChars="200" w:firstLine="482"/>
        <w:rPr>
          <w:rFonts w:ascii="宋体" w:eastAsia="宋体" w:hAnsi="宋体" w:cs="Times New Roman"/>
          <w:b/>
          <w:sz w:val="24"/>
          <w:szCs w:val="24"/>
        </w:rPr>
      </w:pPr>
      <w:r w:rsidRPr="00670F0B">
        <w:rPr>
          <w:rFonts w:ascii="宋体" w:eastAsia="宋体" w:hAnsi="宋体" w:cs="Times New Roman" w:hint="eastAsia"/>
          <w:b/>
          <w:sz w:val="24"/>
          <w:szCs w:val="24"/>
        </w:rPr>
        <w:lastRenderedPageBreak/>
        <w:t>构建工作体系</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随着交叉学科教学研究机构的进一步增加，高校亟须完善交叉学科教师联聘管理体系，进一步激发院系和联聘教师的积极性。</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建立并完善交叉学科教师联聘工作体系。成立学校交叉学科教师聘任委员会，制定学校交叉学科教师联合聘任工作规划，监督、检查、协调各院系、各学科教师联合聘任工作；明确院系学科交叉融合和教师联合聘任的分管领导，设立院系教师联合聘任工作联络员，负责联聘教师的日常管理工作。</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编制教师联聘工作指导手册。在学校层面出台教师联聘岗位设置、岗位申请、业绩评价、支持保障、操作流程、操作原则等方面的规范标准，用以指导、规范全校的教师联聘工作。</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实施联聘多方协议制度。主聘单位、联聘单位、联聘教师和人事处在充分协商的基础上签订联聘协议，通过协议明确联聘教师的聘期、行政关系隶属、教学科研与社会服务等方面的工作量，明确联聘教师相关资源获得的条件和程序，明确学术成果的归属、收益分配等，明确联聘教师业绩评价标准和操作程序，明确各方权责以及冲突的处理程序等。</w:t>
      </w:r>
    </w:p>
    <w:p w:rsidR="0076610C" w:rsidRPr="00670F0B" w:rsidRDefault="0076610C" w:rsidP="0076610C">
      <w:pPr>
        <w:spacing w:line="360" w:lineRule="auto"/>
        <w:ind w:firstLineChars="200" w:firstLine="482"/>
        <w:rPr>
          <w:rFonts w:ascii="宋体" w:eastAsia="宋体" w:hAnsi="宋体" w:cs="Times New Roman"/>
          <w:b/>
          <w:sz w:val="24"/>
          <w:szCs w:val="24"/>
        </w:rPr>
      </w:pPr>
      <w:r w:rsidRPr="00670F0B">
        <w:rPr>
          <w:rFonts w:ascii="宋体" w:eastAsia="宋体" w:hAnsi="宋体" w:cs="Times New Roman" w:hint="eastAsia"/>
          <w:b/>
          <w:sz w:val="24"/>
          <w:szCs w:val="24"/>
        </w:rPr>
        <w:t>学科资源分配</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成果认定及收益分配机制亟须进一步完善。在认定机制方面，学校可根据不同学科特点制定联聘教师学术成果认定的指导原则。当下为鼓励交叉学科研究，学校可明确联聘教师的学术成果由主聘单位和联聘单位共有，双方拥有同等的成果转化分配权益。学校可支持第二作者和第一作者在研究成果认定方面具有同等权益，在科研成果奖励、成果转化收益分配等方面享受同等对待，以此激励更多教师参与交叉学科研究。在协商机制方面，学校不能对所有成果和收益“对半开”，应建立协商机制，根据投入产出对等原则，由主聘单位和联聘单位或相关参与人员共同协商确定收益分配比例。在院系兼顾方面，学校要明确联聘教师的成果认定和收益分配，除了鼓励联聘教师，还要认可院系对联聘教师教学科研方面的支持和贡献，以此保障和调动院系的投入积极性。</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在传统院系和学科的治理框架下，当下的学科资源分配很难突破原有的制度禁锢。联聘教师受聘到联聘单位，往往被认为“是来抢资源的”。在这种狭隘的资源分配观影响下，院系增设联聘教师岗位、教师申请联聘岗位的积极性和主动</w:t>
      </w:r>
      <w:r w:rsidRPr="00670F0B">
        <w:rPr>
          <w:rFonts w:ascii="宋体" w:eastAsia="宋体" w:hAnsi="宋体" w:cs="Times New Roman" w:hint="eastAsia"/>
          <w:sz w:val="24"/>
          <w:szCs w:val="24"/>
        </w:rPr>
        <w:lastRenderedPageBreak/>
        <w:t>性明显不足。故而亟须打破原有学科资源分配模式，建立与学科交叉融合相适应的学科资源分配机制。</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学校层面的增量激励机制。学校可以设立联聘教师科研启动基金，凡已经签署联聘协议的教师都可以得到一定的科研启动经费支持；学校还可以设立交叉学科研究项目配比基金，鼓励联聘教师积极申报交叉学科前沿课题；学校层面对研究生招生指标等竞争性学科资源也做增量激励，联聘教师的研究生招生指标由学校直接下达，消除联聘单位对联聘教师“分抢招生指标”的顾虑。</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联聘单位学科资源分配的平衡机制。联聘单位应确保联聘教师享受与其付出相匹配、与联聘单位单聘教师可比较的资源保障，如办公场地、实验室资源、行政支持、科研奖励、评奖评优机会等。</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争取社会资源支持机制。学校与院系要共同引导联聘教师开展面向社会重大需求的交叉学科研究，争取校友、企业等方面的捐赠投入，扩大学科经费资源的总盘子，繁荣交叉学科教学研究。</w:t>
      </w:r>
    </w:p>
    <w:p w:rsidR="0076610C" w:rsidRPr="00670F0B" w:rsidRDefault="0076610C" w:rsidP="0076610C">
      <w:pPr>
        <w:spacing w:line="360" w:lineRule="auto"/>
        <w:ind w:firstLineChars="200" w:firstLine="482"/>
        <w:rPr>
          <w:rFonts w:ascii="宋体" w:eastAsia="宋体" w:hAnsi="宋体" w:cs="Times New Roman"/>
          <w:b/>
          <w:sz w:val="24"/>
          <w:szCs w:val="24"/>
        </w:rPr>
      </w:pPr>
      <w:r w:rsidRPr="00670F0B">
        <w:rPr>
          <w:rFonts w:ascii="宋体" w:eastAsia="宋体" w:hAnsi="宋体" w:cs="Times New Roman" w:hint="eastAsia"/>
          <w:b/>
          <w:sz w:val="24"/>
          <w:szCs w:val="24"/>
        </w:rPr>
        <w:t>科学绩效评价</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联聘教师的科研业绩多是以团队的方式取得，学校亟须建立一套针对交叉学科平台特殊性和联聘教师科研合作特点的评价指标体系，完善绩效评价程序。</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重塑学术价值观。长期以来，项目、论文、专利被视为衡量科研成就的最重要指标，等级和排名很受重视。这种片面的学术价值观导致学术研究急功近利，忽视对高深学问不断探究、不断创新的精神实质。因此，高校不能机械地延续传统重数量轻质量、重形式轻内涵的学术价值观，而要在推进交叉学科研究中重塑学术价值观，坚持学术精神实质，研究真问题、做真研究、出真成果、体现真价值。</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完善联合聘任教师的评价标准与评价方法。交叉学科研究的课题具有很强的跨学科性、实践应用性，交叉学科研究的组织方式具有很强的团队协同性，交叉学科研究的产出具有长周期性，交叉学科研究既有论文、专利等显性可量化成果，又有人才培养、专业领域开拓、学术网络建设、公共政策倡导、学术文化与学术影响力等隐性难量化成果。因此，高校在推进联聘教师评价时，要做到学术性贡献与实践性贡献、个人贡献与团队贡献、长期贡献与短期贡献、显性贡献与隐性贡献的统一，充分发挥评价标准的导向和激励作用。</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lastRenderedPageBreak/>
        <w:t>建立并完善绩效评价体系。学校要建立起年度考评、聘期考评和职称晋升考评相继承、相统一的绩效考评体系，考虑到交叉学科研究的长周期性，高校可将聘期考核周期适当延展至3—5年；同时还要重视绩效评价结果的使用，将此作为联聘教师资源投入和淘汰退出的参考依据。</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以教师高质量的职业生涯发展为导向，推进交叉学科教师联合聘任的进程。</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加强集体融入帮助。联聘单位具有帮助联聘教师尽快融入集体的义务，要为联聘教师积极参与院系学术活动、文化交流活动创造条件，避免联聘教师游离于联聘单位教师群体之外，同时积极肯定联聘教师的工作成就和价值，不断增强其集体归属感和荣誉感。</w:t>
      </w:r>
    </w:p>
    <w:p w:rsidR="0076610C" w:rsidRPr="00670F0B" w:rsidRDefault="0076610C" w:rsidP="0076610C">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Pr="00670F0B">
        <w:rPr>
          <w:rFonts w:ascii="宋体" w:eastAsia="宋体" w:hAnsi="宋体" w:cs="Times New Roman" w:hint="eastAsia"/>
          <w:sz w:val="24"/>
          <w:szCs w:val="24"/>
        </w:rPr>
        <w:t>推进导师帮带制度。联聘单位要为未晋升为教授的青年联聘教师配备一名具有交叉学科教学研究经历的导师，实现组织知识和经验的良性传承；导师通过为他们引荐学术同行、创造学习进修交流合作机会、帮助他们更有效地开展教学研究等方式，全方位指导青年联聘教师实现职业发展。</w:t>
      </w:r>
    </w:p>
    <w:p w:rsidR="0076610C" w:rsidRPr="00670F0B" w:rsidRDefault="0076610C" w:rsidP="0076610C">
      <w:pPr>
        <w:spacing w:line="360" w:lineRule="auto"/>
        <w:ind w:firstLineChars="200" w:firstLine="480"/>
        <w:rPr>
          <w:rFonts w:ascii="宋体" w:eastAsia="宋体" w:hAnsi="宋体" w:cs="Times New Roman"/>
          <w:sz w:val="24"/>
          <w:szCs w:val="24"/>
        </w:rPr>
      </w:pPr>
      <w:r w:rsidRPr="00670F0B">
        <w:rPr>
          <w:rFonts w:ascii="宋体" w:eastAsia="宋体" w:hAnsi="宋体" w:cs="Times New Roman" w:hint="eastAsia"/>
          <w:sz w:val="24"/>
          <w:szCs w:val="24"/>
        </w:rPr>
        <w:t>建立联聘教师评审委员会。由于联聘教师的评估具有一定特殊性，高校要在借鉴密歇根大学经验的基础上，建立联聘教师评审委员会，吸引具有交叉学科教学研究经验的各专业同行加入，通过委员会开展联聘教师的同行评议，为联聘教师的职称评审建立单独通道；赋予委员会开展联聘工作调查研究的权利和义务，分析联聘过程中存在的问题，为学校提出制度优化建议。（</w:t>
      </w:r>
      <w:r>
        <w:rPr>
          <w:rFonts w:ascii="宋体" w:eastAsia="宋体" w:hAnsi="宋体" w:cs="Times New Roman" w:hint="eastAsia"/>
          <w:sz w:val="24"/>
          <w:szCs w:val="24"/>
        </w:rPr>
        <w:t>来源：《中国教育报》。作者</w:t>
      </w:r>
      <w:r w:rsidRPr="00670F0B">
        <w:rPr>
          <w:rFonts w:ascii="宋体" w:eastAsia="宋体" w:hAnsi="宋体" w:cs="Times New Roman" w:hint="eastAsia"/>
          <w:sz w:val="24"/>
          <w:szCs w:val="24"/>
        </w:rPr>
        <w:t>：林成华</w:t>
      </w:r>
      <w:r>
        <w:rPr>
          <w:rFonts w:ascii="宋体" w:eastAsia="宋体" w:hAnsi="宋体" w:cs="Times New Roman" w:hint="eastAsia"/>
          <w:sz w:val="24"/>
          <w:szCs w:val="24"/>
        </w:rPr>
        <w:t xml:space="preserve"> </w:t>
      </w:r>
      <w:r w:rsidRPr="00670F0B">
        <w:rPr>
          <w:rFonts w:ascii="宋体" w:eastAsia="宋体" w:hAnsi="宋体" w:cs="Times New Roman" w:hint="eastAsia"/>
          <w:sz w:val="24"/>
          <w:szCs w:val="24"/>
        </w:rPr>
        <w:t>浙江大学公共管理学院中国科教战略研究院）</w:t>
      </w:r>
    </w:p>
    <w:p w:rsidR="0076610C" w:rsidRPr="00B239AF" w:rsidRDefault="0076610C" w:rsidP="0076610C">
      <w:pPr>
        <w:pStyle w:val="2"/>
        <w:jc w:val="center"/>
        <w:rPr>
          <w:rFonts w:ascii="宋体" w:eastAsia="宋体" w:hAnsi="宋体"/>
          <w:sz w:val="30"/>
          <w:szCs w:val="30"/>
        </w:rPr>
      </w:pPr>
      <w:bookmarkStart w:id="8" w:name="_Toc12291670"/>
      <w:r w:rsidRPr="00B239AF">
        <w:rPr>
          <w:rFonts w:ascii="宋体" w:eastAsia="宋体" w:hAnsi="宋体" w:hint="eastAsia"/>
          <w:sz w:val="30"/>
          <w:szCs w:val="30"/>
        </w:rPr>
        <w:t>国际交流合作支撑人才培养</w:t>
      </w:r>
      <w:bookmarkEnd w:id="8"/>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在全球化时代，高等教育需要在实现传统人才培养目标的基础上，增加培养学生跨文化交往以及胜任全球合作和竞争的能力。在此背景下，越来越多的高校将全球胜任力作为人才培养目标之一，探索走国际化育人之路。作为新中国第一所航空航天高等学府，北航以建设扎根中国大地的世界一流大学为发展目标，坚持立德树人根本任务，突出人才培养中心地位，着力培养理想高远、学识一流、胸怀寰宇、致真唯实的领军领导人才。</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基于以上人才培养目标，学校系统梳理了国际交流合作对人才培养的支撑作用，发现学校的国际化工作与人才培养目标对标不够明确，未能建立起服务人才</w:t>
      </w:r>
      <w:r w:rsidRPr="00B239AF">
        <w:rPr>
          <w:rFonts w:ascii="宋体" w:eastAsia="宋体" w:hAnsi="宋体" w:cs="Times New Roman" w:hint="eastAsia"/>
          <w:sz w:val="24"/>
          <w:szCs w:val="24"/>
        </w:rPr>
        <w:lastRenderedPageBreak/>
        <w:t>培养目标的国际交流与合作平台，不能有效地支撑学校人才培养的总体目标。此外，与全球一流学术及科研机构建立的国际化人才培养项目数量少，缺乏有特色的国际化人才培养模式。学生海外经历较为缺乏，国际化视野和能力不足，国际化人才培养的保障机制不够健全。</w:t>
      </w:r>
    </w:p>
    <w:p w:rsidR="0076610C" w:rsidRPr="00B239AF" w:rsidRDefault="0076610C" w:rsidP="0076610C">
      <w:pPr>
        <w:spacing w:line="360" w:lineRule="auto"/>
        <w:ind w:firstLineChars="200" w:firstLine="482"/>
        <w:rPr>
          <w:rFonts w:ascii="宋体" w:eastAsia="宋体" w:hAnsi="宋体" w:cs="Times New Roman"/>
          <w:b/>
          <w:sz w:val="24"/>
          <w:szCs w:val="24"/>
        </w:rPr>
      </w:pPr>
      <w:r w:rsidRPr="00B239AF">
        <w:rPr>
          <w:rFonts w:ascii="宋体" w:eastAsia="宋体" w:hAnsi="宋体" w:cs="Times New Roman" w:hint="eastAsia"/>
          <w:b/>
          <w:sz w:val="24"/>
          <w:szCs w:val="24"/>
        </w:rPr>
        <w:t>构建“UPS”国际交流平台</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着眼于以上问题，学校从人才培养的总体目标出发，于2013年提出了“北航Global Campus”——“北航全球校园”计划，通过构建全方位、多维度、立体化的“UPS”国际交流合作平台，以国际标准构建一流国际化培养体系，倾力建设高水平、特色鲜明的学生交换、联合培养、双学位培养、国际暑期学校项目。“全球校园”将人才培养的物理空间从北航延伸到全世界，利用全球优质教育资源培养具有国际视野、跨文化理解力和交流能力、国际合作与竞争能力的人才。围绕以往国际化人才培养中面临的问题，“全球校园”基于平台、项目、保障机制三方面实施了一系列建设举措。</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2009年，北航提出构建全方位、多维度、立体化的“UPS”国际交流与合作平台，利用全球优质教育资源为学生提供多元化的高等教育，全力支撑“全球校园”建设。“UPS”指在大学（University）、教授（Professor）和学生（Student）三个层面搭建国际交流合作平台。在大学层面，广泛建设校际合作平台，建立“立足亚太、重点欧洲、深化北美、覆盖全球”的合作伙伴网络。在教授层面，支持教授以科研合作为依托探索国际化人才培养新模式，并引进外国专家来校进行人才培养。在学生层面，构建学生国际化交流平台，推动学生参与海外学习，丰富国际化经历，提升全球胜任力。</w:t>
      </w:r>
    </w:p>
    <w:p w:rsidR="0076610C" w:rsidRPr="00B239AF" w:rsidRDefault="0076610C" w:rsidP="0076610C">
      <w:pPr>
        <w:spacing w:line="360" w:lineRule="auto"/>
        <w:ind w:firstLineChars="200" w:firstLine="482"/>
        <w:rPr>
          <w:rFonts w:ascii="宋体" w:eastAsia="宋体" w:hAnsi="宋体" w:cs="Times New Roman"/>
          <w:b/>
          <w:sz w:val="24"/>
          <w:szCs w:val="24"/>
        </w:rPr>
      </w:pPr>
      <w:r w:rsidRPr="00B239AF">
        <w:rPr>
          <w:rFonts w:ascii="宋体" w:eastAsia="宋体" w:hAnsi="宋体" w:cs="Times New Roman" w:hint="eastAsia"/>
          <w:b/>
          <w:sz w:val="24"/>
          <w:szCs w:val="24"/>
        </w:rPr>
        <w:t>以人才培养目标为导向</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学校将国际化人才必备的能力素质按程度归纳为国际视野、跨文化理解力与交流能力、国际竞争力三个层次，并以目标为导向，建立各类长短期国际化人才培养项目。通过实施学生海外学习经历提升计划——“远航计划”，学校大规模选派学生参加境外暑期学校，打造国际暑期小学期，学生出国比例大幅增加，国际视野有效提升。通过“国际暑期学校计划”聘请国际师资来校开课，构建本土国际化育人环境。与境外合作伙伴广泛建立一学期以上的学生交换或联合培养项目，学生深度感受异国文化、国际化的教学科研环境，提升跨文化理解力与交流</w:t>
      </w:r>
      <w:r w:rsidRPr="00B239AF">
        <w:rPr>
          <w:rFonts w:ascii="宋体" w:eastAsia="宋体" w:hAnsi="宋体" w:cs="Times New Roman" w:hint="eastAsia"/>
          <w:sz w:val="24"/>
          <w:szCs w:val="24"/>
        </w:rPr>
        <w:lastRenderedPageBreak/>
        <w:t>能力。始终秉承“定位高端、科教融合”的原则，学校大力推动与世界一流大学建立硕士/博士双学位联合培养项目，并依托国际科研合作平台探索人才培养新模式，培养具有国际竞争力的学术创新型人才。</w:t>
      </w:r>
    </w:p>
    <w:p w:rsidR="0076610C" w:rsidRPr="00B239AF" w:rsidRDefault="0076610C" w:rsidP="0076610C">
      <w:pPr>
        <w:spacing w:line="360" w:lineRule="auto"/>
        <w:ind w:firstLineChars="200" w:firstLine="482"/>
        <w:rPr>
          <w:rFonts w:ascii="宋体" w:eastAsia="宋体" w:hAnsi="宋体" w:cs="Times New Roman"/>
          <w:b/>
          <w:sz w:val="24"/>
          <w:szCs w:val="24"/>
        </w:rPr>
      </w:pPr>
      <w:r w:rsidRPr="00B239AF">
        <w:rPr>
          <w:rFonts w:ascii="宋体" w:eastAsia="宋体" w:hAnsi="宋体" w:cs="Times New Roman" w:hint="eastAsia"/>
          <w:b/>
          <w:sz w:val="24"/>
          <w:szCs w:val="24"/>
        </w:rPr>
        <w:t>保障国际化人才培养</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为鼓励学生参与国际化人才培养项目，学校从管理团队、运行机制、资金渠道、信息化建设四个方面建立了完善的国际化人才培养保障机制。学校专门设立海外学习办公室，对各类海外学习项目实行统筹管理，并完善了由外事主管部门、学院领导、学院国际化工作协调人组成的国际化人才培养工作团队。在运行机制上，进一步梳理各类出国（境）项目的组织管理流程，完善人员选拔、录取派出、在外管理、回国考核等各环节的全流程管理及保障机制，初步建立留学效益</w:t>
      </w:r>
      <w:r>
        <w:rPr>
          <w:rFonts w:ascii="宋体" w:eastAsia="宋体" w:hAnsi="宋体" w:cs="Times New Roman" w:hint="eastAsia"/>
          <w:sz w:val="24"/>
          <w:szCs w:val="24"/>
        </w:rPr>
        <w:t>评估机制，落实项目发布、项目宣讲、行前培训、在外管理等各项工作。</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“全球校园”计划使国际化培养理念日益深入人心，参与各类长、短期海外学习项目成为培养计划中的常规选项，不再是遥不可及的小众选择。</w:t>
      </w:r>
    </w:p>
    <w:p w:rsidR="0076610C" w:rsidRPr="00B239AF" w:rsidRDefault="0076610C" w:rsidP="0076610C">
      <w:pPr>
        <w:spacing w:line="360" w:lineRule="auto"/>
        <w:ind w:firstLineChars="200" w:firstLine="480"/>
        <w:rPr>
          <w:rFonts w:ascii="宋体" w:eastAsia="宋体" w:hAnsi="宋体" w:cs="Times New Roman"/>
          <w:sz w:val="24"/>
          <w:szCs w:val="24"/>
        </w:rPr>
      </w:pPr>
      <w:r w:rsidRPr="00B239AF">
        <w:rPr>
          <w:rFonts w:ascii="宋体" w:eastAsia="宋体" w:hAnsi="宋体" w:cs="Times New Roman" w:hint="eastAsia"/>
          <w:sz w:val="24"/>
          <w:szCs w:val="24"/>
        </w:rPr>
        <w:t>学校对学生海外学习的效果进行了评估，根据问卷调查和抽样访谈中反馈的信息，海外经历除了帮助他们接触国际学术前沿、巩固专业知识与技能、全面提升外语水平外，还显著提升了批判性思维能力、团队合作能力、灵活应变能力、信息整合与分析能力、运用创新性方法解决问题的能力、社会交往能力、对多元文化的适应能力等。每年由校长颁发的“沈元奖章”是北航本科生的最高荣誉，近五年登上荣誉殿堂的学生中平均有40%参加过一学期以上的海外学习项目，且这一比例正在逐年增加。国际化培养经历还为学生毕业后出国深造打下了坚实基础。（</w:t>
      </w:r>
      <w:r>
        <w:rPr>
          <w:rFonts w:ascii="宋体" w:eastAsia="宋体" w:hAnsi="宋体" w:cs="Times New Roman" w:hint="eastAsia"/>
          <w:sz w:val="24"/>
          <w:szCs w:val="24"/>
        </w:rPr>
        <w:t>来源：《中国教育报》。</w:t>
      </w:r>
      <w:r w:rsidRPr="00B239AF">
        <w:rPr>
          <w:rFonts w:ascii="宋体" w:eastAsia="宋体" w:hAnsi="宋体" w:cs="Times New Roman" w:hint="eastAsia"/>
          <w:sz w:val="24"/>
          <w:szCs w:val="24"/>
        </w:rPr>
        <w:t>作者：吕莹</w:t>
      </w:r>
      <w:r>
        <w:rPr>
          <w:rFonts w:ascii="宋体" w:eastAsia="宋体" w:hAnsi="宋体" w:cs="Times New Roman" w:hint="eastAsia"/>
          <w:sz w:val="24"/>
          <w:szCs w:val="24"/>
        </w:rPr>
        <w:t xml:space="preserve"> </w:t>
      </w:r>
      <w:r w:rsidRPr="00B239AF">
        <w:rPr>
          <w:rFonts w:ascii="宋体" w:eastAsia="宋体" w:hAnsi="宋体" w:cs="Times New Roman" w:hint="eastAsia"/>
          <w:sz w:val="24"/>
          <w:szCs w:val="24"/>
        </w:rPr>
        <w:t>北京航空航天大学）</w:t>
      </w:r>
    </w:p>
    <w:p w:rsidR="0076610C" w:rsidRPr="00C14EB1" w:rsidRDefault="0076610C" w:rsidP="0076610C">
      <w:pPr>
        <w:pStyle w:val="2"/>
        <w:jc w:val="center"/>
        <w:rPr>
          <w:rFonts w:asciiTheme="minorEastAsia" w:eastAsiaTheme="minorEastAsia" w:hAnsiTheme="minorEastAsia"/>
          <w:sz w:val="30"/>
          <w:szCs w:val="30"/>
        </w:rPr>
      </w:pPr>
      <w:bookmarkStart w:id="9" w:name="_Toc12291671"/>
      <w:r w:rsidRPr="00C14EB1">
        <w:rPr>
          <w:rFonts w:asciiTheme="minorEastAsia" w:eastAsiaTheme="minorEastAsia" w:hAnsiTheme="minorEastAsia" w:hint="eastAsia"/>
          <w:sz w:val="30"/>
          <w:szCs w:val="30"/>
        </w:rPr>
        <w:t>创业教师应做“新的学习场景开发者”</w:t>
      </w:r>
      <w:bookmarkEnd w:id="9"/>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“创业教育到底意味着什么，难道是教几门课，然后教学生办公司这么简单吗？”在第十三届KAB创业教育年会上，华南师范大学教授黄楷胤向来自全国各地从事创新创业教育的老师们发问。</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答案当然是否定的。因为创业课和其他课不一样，创业复杂、没有规律、永远在变，成功的经验“即便能复制也不能粘贴”在自己身上。不少教师不在意学生的创业率，不看重创业大赛的成绩，不在乎学生里出了几个企业家，而是积极</w:t>
      </w:r>
      <w:r w:rsidRPr="00C14EB1">
        <w:rPr>
          <w:rFonts w:ascii="宋体" w:eastAsia="宋体" w:hAnsi="宋体" w:cs="Times New Roman" w:hint="eastAsia"/>
          <w:sz w:val="24"/>
          <w:szCs w:val="24"/>
        </w:rPr>
        <w:lastRenderedPageBreak/>
        <w:t>在创业课上“花样”探索，让学生爱上创业课。</w:t>
      </w:r>
    </w:p>
    <w:p w:rsidR="0076610C"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正如黄楷胤所言，他做创业教育只有一个目的——培养人才，“创业成不成功和天时地利有关，而我的任务就是把种子培育好，以后不管飞到哪个角落都茁壮成长，飞到大地就是大树，飞到缝隙里也能冒出芽来，这就是生命的价值。”</w:t>
      </w:r>
    </w:p>
    <w:p w:rsidR="0076610C" w:rsidRPr="00CA69D8" w:rsidRDefault="0076610C" w:rsidP="0076610C">
      <w:pPr>
        <w:spacing w:line="360" w:lineRule="auto"/>
        <w:ind w:firstLineChars="200" w:firstLine="482"/>
        <w:rPr>
          <w:rFonts w:ascii="宋体" w:eastAsia="宋体" w:hAnsi="宋体" w:cs="Times New Roman"/>
          <w:sz w:val="24"/>
          <w:szCs w:val="24"/>
        </w:rPr>
      </w:pPr>
      <w:r w:rsidRPr="00C14EB1">
        <w:rPr>
          <w:rFonts w:ascii="宋体" w:eastAsia="宋体" w:hAnsi="宋体" w:cs="Times New Roman" w:hint="eastAsia"/>
          <w:b/>
          <w:sz w:val="24"/>
          <w:szCs w:val="24"/>
        </w:rPr>
        <w:t>创业课教师不爱提问怎么办</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在东北大学创新创业学院副院长贾建锋看来，不少学生不喜欢创业课的一个原因是“不提问”。</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大多数学生课前不预备，也不知道学这堂课有什么用。很多人并不打算创业，想创业的学生更关注营销、会计等专业课程，觉得在此学不到他们想要的东西。</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创业教育专家李家华曾调研发现，在高校负责创业课程的教师中，39.6%的教师没有上过创业课，也没做过相关讲座。</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贾建锋提到，教师不爱提问，因为自己没有创业过，不知道怎么提问，若提问了没人回答冷场更尴尬。</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“如果能在教学过程中设置一个问题情境，可能是一个好办法。”贾建锋认为，一个好的问题情境往往能培养学生的问题意识，最终激发学生的创造力。</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这些问题情境不是“马云式的成功故事”，而是贴近学生身边的案例，充满悬疑让人印象深刻。这些问题场景千奇百怪，比如女士穿高跟鞋开车，又觉得换鞋麻烦，有什么解决办法；按洗手液瓶子需要两只手操作，有没有更卫生且不用手的办法；有没有不用手的自拍杆；两个人如何微信建群……</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答案永远在实践中。”贾建锋的课堂上没有标准答案。当这些问题场景激发出学生的好奇心和创造力后，他再引导学生回归实际。以洗手液瓶子的问题情境为例，当学生研发出更高级的洗手液瓶子时，市场会不会埋单，他又以研发费用、推广费用等引导学生思考，这个创意是否能变成一个好的商机。</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这种像玩游戏一样的问题情境让学生在课堂上注意力高度集中。如今创业教育已经成为必修课，贾建锋一直在反思如何“让学生产生学习创业课的内驱力”。他认为，一是教给学生基本的知识，二是教学生如何获取知识的方法，三是看待问题的思维方式，这也是最重要的。</w:t>
      </w:r>
    </w:p>
    <w:p w:rsidR="0076610C"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未来，最理想创业课设置问题场景方式是，学生提出问题，学生解决问题，学生对提出的问题负责任。贾建锋说：“这样看似学生学习效率降低了，实际没</w:t>
      </w:r>
      <w:r w:rsidRPr="00C14EB1">
        <w:rPr>
          <w:rFonts w:ascii="宋体" w:eastAsia="宋体" w:hAnsi="宋体" w:cs="Times New Roman" w:hint="eastAsia"/>
          <w:sz w:val="24"/>
          <w:szCs w:val="24"/>
        </w:rPr>
        <w:lastRenderedPageBreak/>
        <w:t>有，人们往往愿意为自己的决定全力以赴，并愿为它承担责任。”</w:t>
      </w:r>
    </w:p>
    <w:p w:rsidR="0076610C" w:rsidRPr="00CA69D8" w:rsidRDefault="0076610C" w:rsidP="0076610C">
      <w:pPr>
        <w:spacing w:line="360" w:lineRule="auto"/>
        <w:ind w:firstLineChars="200" w:firstLine="482"/>
        <w:rPr>
          <w:rFonts w:ascii="宋体" w:eastAsia="宋体" w:hAnsi="宋体" w:cs="Times New Roman"/>
          <w:sz w:val="24"/>
          <w:szCs w:val="24"/>
        </w:rPr>
      </w:pPr>
      <w:r w:rsidRPr="00C14EB1">
        <w:rPr>
          <w:rFonts w:ascii="宋体" w:eastAsia="宋体" w:hAnsi="宋体" w:cs="Times New Roman" w:hint="eastAsia"/>
          <w:b/>
          <w:sz w:val="24"/>
          <w:szCs w:val="24"/>
        </w:rPr>
        <w:t>“新的学习场景开发者”</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传统填鸭式课堂不再受欢迎，更不适合实践性极强的创业课，不少老师正在为了吸引学生“花样探索”。</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每堂课上，上海财经大学创业学院执行副院长、教授刘志阳都会费心思准备很多“教具”，连“点赞”的手势纸板都准备好了。他知道，讲台下那些00后“新新人类”，需求越来越多样，兴趣在于探索未知，所以快乐式的学习是必选项。</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“如果教师还是讲得正儿八经，被淘汰掉也是有可能的。”刘志阳认为，教师正在从“传道授业解惑者”变成“梦想实现的陪伴者”和“新的学习场景开发者”。</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为了拉近和那些天天泡在网上的学生的距离，温州大学创业人才培养学院副院长施永川采取了混合式教学方法，即引入慕课、翻转课堂等。这种课堂贯穿线上线下，结合了线下的面对面优势跟线上数字化教学的趋势，从而获得更佳的教学效果。</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施永川在课堂上也很注意避免给出权威的指令，教师应从“知识灌输者”向“促进者”转变，强调学生自主学习、及时有效的信息反馈和交流。</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创业课的开设目的是否是为了提升学生的创业能力？中央财经大学商学院党委书记、教授葛建新认为并非如此，创业课的关键还是思维。中财创业课无比接近真实，会讲道德选择的困境、获取资源时的灰色地带等敏感又真实的话题，引导学生如何抉择。</w:t>
      </w:r>
    </w:p>
    <w:p w:rsidR="0076610C"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“教一个人成为创业者如同教一个人成为艺术家一样，我们不能使他成为另外一个梵高，但是可以教给他色彩、构图，成为艺术家必备的技能。”施永川引用美国创业教育专家布罗克豪斯的话说。</w:t>
      </w:r>
    </w:p>
    <w:p w:rsidR="0076610C" w:rsidRPr="00CA69D8" w:rsidRDefault="0076610C" w:rsidP="0076610C">
      <w:pPr>
        <w:spacing w:line="360" w:lineRule="auto"/>
        <w:ind w:firstLineChars="200" w:firstLine="482"/>
        <w:rPr>
          <w:rFonts w:ascii="宋体" w:eastAsia="宋体" w:hAnsi="宋体" w:cs="Times New Roman"/>
          <w:sz w:val="24"/>
          <w:szCs w:val="24"/>
        </w:rPr>
      </w:pPr>
      <w:r w:rsidRPr="00C14EB1">
        <w:rPr>
          <w:rFonts w:ascii="宋体" w:eastAsia="宋体" w:hAnsi="宋体" w:cs="Times New Roman" w:hint="eastAsia"/>
          <w:b/>
          <w:sz w:val="24"/>
          <w:szCs w:val="24"/>
        </w:rPr>
        <w:t>创业教育是教改试验田教师是突破点</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教师紧迫感来源于时代的变化。技术更迭越来越快，组织变得越来越平，用户变得越来越挑剔，学生获得知识的渠道变得多样化，教师的作用正在瓦解。</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刘志阳直言，在技术变革的前夜，传统的专业化学习、学科发展学院化的模式要寻求变化，新时代要求培养学生跨学科、跨专业、应对未来的不确定性的能力。</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lastRenderedPageBreak/>
        <w:t>“未来是超职场时代。”李家华指出，职业正从谋生向创造升级，人们必须主动创造新价值，才能具有存在的价值。这其中，教师是影响学生未来的主要因素。</w:t>
      </w:r>
    </w:p>
    <w:p w:rsidR="0076610C" w:rsidRPr="00C14EB1" w:rsidRDefault="0076610C" w:rsidP="0076610C">
      <w:pPr>
        <w:spacing w:line="360" w:lineRule="auto"/>
        <w:ind w:firstLineChars="200" w:firstLine="480"/>
        <w:rPr>
          <w:rFonts w:ascii="宋体" w:eastAsia="宋体" w:hAnsi="宋体" w:cs="Times New Roman"/>
          <w:sz w:val="24"/>
          <w:szCs w:val="24"/>
        </w:rPr>
      </w:pPr>
      <w:r w:rsidRPr="00C14EB1">
        <w:rPr>
          <w:rFonts w:ascii="宋体" w:eastAsia="宋体" w:hAnsi="宋体" w:cs="Times New Roman" w:hint="eastAsia"/>
          <w:sz w:val="24"/>
          <w:szCs w:val="24"/>
        </w:rPr>
        <w:t>在黄楷胤看来，未来没有一个工作可以“通杀天下”，创业教育要把一个人的主动性和领导力锻炼出来。</w:t>
      </w:r>
    </w:p>
    <w:p w:rsidR="0076610C" w:rsidRPr="0076610C" w:rsidRDefault="0076610C" w:rsidP="0076610C">
      <w:pPr>
        <w:spacing w:line="360" w:lineRule="auto"/>
        <w:rPr>
          <w:rFonts w:ascii="宋体" w:hAnsi="宋体"/>
          <w:b/>
          <w:sz w:val="30"/>
          <w:szCs w:val="30"/>
        </w:rPr>
      </w:pPr>
      <w:r w:rsidRPr="00C14EB1">
        <w:rPr>
          <w:rFonts w:ascii="宋体" w:eastAsia="宋体" w:hAnsi="宋体" w:cs="Times New Roman" w:hint="eastAsia"/>
          <w:sz w:val="24"/>
          <w:szCs w:val="24"/>
        </w:rPr>
        <w:t>“希望创业教育能成为教改的试验田。”黄楷胤呼吁给教师比较宽松的环境，允许犯错误，允许做探索，走出一条新的培养人才的模式方法，“未来的教育一定是个性化、定制化、终生的”。</w:t>
      </w:r>
      <w:r>
        <w:rPr>
          <w:rFonts w:ascii="宋体" w:eastAsia="宋体" w:hAnsi="宋体" w:cs="Times New Roman" w:hint="eastAsia"/>
          <w:sz w:val="24"/>
          <w:szCs w:val="24"/>
        </w:rPr>
        <w:t>（来源：《中国青年报》。）</w:t>
      </w:r>
    </w:p>
    <w:p w:rsidR="0076610C" w:rsidRPr="0076610C" w:rsidRDefault="0076610C" w:rsidP="0076610C">
      <w:pPr>
        <w:spacing w:line="360" w:lineRule="auto"/>
        <w:rPr>
          <w:rFonts w:ascii="宋体" w:eastAsia="宋体" w:hAnsi="宋体" w:cs="Times New Roman"/>
          <w:b/>
          <w:sz w:val="30"/>
          <w:szCs w:val="30"/>
        </w:rPr>
      </w:pPr>
      <w:r w:rsidRPr="0076610C">
        <w:rPr>
          <w:rFonts w:ascii="宋体" w:eastAsia="宋体" w:hAnsi="宋体" w:cs="Times New Roman" w:hint="eastAsia"/>
          <w:b/>
          <w:sz w:val="30"/>
          <w:szCs w:val="30"/>
        </w:rPr>
        <w:t>发展改革</w:t>
      </w:r>
    </w:p>
    <w:p w:rsidR="00FC0ACE" w:rsidRPr="00FC0ACE" w:rsidRDefault="00FC0ACE" w:rsidP="00FC0ACE">
      <w:pPr>
        <w:pStyle w:val="2"/>
        <w:jc w:val="center"/>
        <w:rPr>
          <w:rFonts w:ascii="宋体" w:eastAsia="宋体" w:hAnsi="宋体"/>
          <w:sz w:val="30"/>
          <w:szCs w:val="30"/>
        </w:rPr>
      </w:pPr>
      <w:bookmarkStart w:id="10" w:name="_Toc12291672"/>
      <w:r w:rsidRPr="00FC0ACE">
        <w:rPr>
          <w:rFonts w:ascii="宋体" w:eastAsia="宋体" w:hAnsi="宋体" w:hint="eastAsia"/>
          <w:sz w:val="30"/>
          <w:szCs w:val="30"/>
        </w:rPr>
        <w:t>切实为科研人员松绑助力</w:t>
      </w:r>
      <w:bookmarkEnd w:id="10"/>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日前，教育部党组印发《关于抓好赋予科研管理更大自主权有关文件贯彻落实工作的通知》，对完善科研管理制度、落实科研管理自主权、优化管理服务、加强诚信建设、改进工作机制、完善监督机制等作出明确规定。</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科研管理更大的自主权体现在哪些方面？对营造良好科研创新环境有哪些促进？《通知》的出台传递出怎样的政策意图和实践考量？教育部有关负责人结合公众关注的热点问题，进行了深入解读。</w:t>
      </w:r>
    </w:p>
    <w:p w:rsidR="00FC0ACE" w:rsidRPr="00FC0ACE" w:rsidRDefault="00FC0ACE" w:rsidP="00FC0ACE">
      <w:pPr>
        <w:spacing w:line="360" w:lineRule="auto"/>
        <w:ind w:firstLineChars="200" w:firstLine="482"/>
        <w:rPr>
          <w:rFonts w:ascii="宋体" w:eastAsia="宋体" w:hAnsi="宋体" w:cs="Times New Roman"/>
          <w:b/>
          <w:sz w:val="24"/>
          <w:szCs w:val="24"/>
        </w:rPr>
      </w:pPr>
      <w:r w:rsidRPr="00FC0ACE">
        <w:rPr>
          <w:rFonts w:ascii="宋体" w:eastAsia="宋体" w:hAnsi="宋体" w:cs="Times New Roman" w:hint="eastAsia"/>
          <w:b/>
          <w:sz w:val="24"/>
          <w:szCs w:val="24"/>
        </w:rPr>
        <w:t>充分释放政策红利，增强科研人员获得感</w:t>
      </w:r>
    </w:p>
    <w:p w:rsidR="00FC0ACE" w:rsidRPr="00FC0ACE" w:rsidRDefault="00FC0ACE" w:rsidP="00FC0ACE">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Pr="00FC0ACE">
        <w:rPr>
          <w:rFonts w:ascii="宋体" w:eastAsia="宋体" w:hAnsi="宋体" w:cs="Times New Roman" w:hint="eastAsia"/>
          <w:sz w:val="24"/>
          <w:szCs w:val="24"/>
        </w:rPr>
        <w:t>今年的《政府工作报告》指出，要充分尊重和信任科研人员，赋予创新团队和领军人才更大的人财物支配权和技术路线决定权。进一步提高基础研究项目间接经费占比，开展项目经费使用“包干制”改革试点，不设科目比例限制，由科研团队自主决定使用。</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这一表述引发舆论高度关注，参会代表委员将其视为对科技人员、科技管理人员的又一次“松绑解困”，被寄予改变“层层审批、人人存疑、每票必核、违规难罚”的科研经费管理模式的期望，科研管理自主权的议题再次进入公众视野。</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经商中央纪委国家监委驻教育部纪检监察组，教育部党组决定制定相关文件，在教育部职责范围内，进一步明晰高校在科研项目管理、经费管理、成果转化应用及科研经费使用问题处理等方面的权力，划出政策红线底线，进一步提升高校落实科研自主权的操作性，解除高校后顾之忧，使高校吃下定心丸。”有关</w:t>
      </w:r>
      <w:r w:rsidRPr="00FC0ACE">
        <w:rPr>
          <w:rFonts w:ascii="宋体" w:eastAsia="宋体" w:hAnsi="宋体" w:cs="Times New Roman" w:hint="eastAsia"/>
          <w:sz w:val="24"/>
          <w:szCs w:val="24"/>
        </w:rPr>
        <w:lastRenderedPageBreak/>
        <w:t>负责人表示。</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据介绍，近年来，党中央、国务院聚焦完善科研管理、提升科研绩效等方面，出台了系列政策文件。教育部党组高度重视，积极指导高校贯彻落实。但实践中发现，仍有部分高校在贯彻落实科研自主权过程中有顾虑，不敢接、不会接、不愿接，导致政策红利没有充分释放，科研人员获得感不强。</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2014年国务院出台《关于改进加强中央财政科研项目和资金管理的若干意见》，提出了进一步下放预算调整审批权限、完善间接费用管理等内容，让科研经费的使用有了“松绑”的大方向。此后几年中，在科研经费管理方面，国家又密集出台了一系列“松绑”政策。</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去年底，李克强总理在国家科技领导小组第一次全体会议上指出，科研管理不能等同于行政管理，要尊重其自身规律，核心是要以科研人员为本。近年来我们大力推动赋予科研机构和科研人员更大自主权，下发了不少文件，但一直有科研人员反映一些政策落实不到位，这说明科研体制机制改革仍有许多“坚冰”要破。</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“《通知》的出台，是为了进一步抓好赋予科研管理更大自主权有关文件贯彻落实工作，切实为科研人员松绑助力，充分释放创新活力。”有关负责人表示。</w:t>
      </w:r>
    </w:p>
    <w:p w:rsidR="00FC0ACE" w:rsidRPr="00FC0ACE" w:rsidRDefault="00FC0ACE" w:rsidP="00FC0ACE">
      <w:pPr>
        <w:spacing w:line="360" w:lineRule="auto"/>
        <w:ind w:firstLineChars="200" w:firstLine="482"/>
        <w:rPr>
          <w:rFonts w:ascii="宋体" w:eastAsia="宋体" w:hAnsi="宋体" w:cs="Times New Roman"/>
          <w:b/>
          <w:sz w:val="24"/>
          <w:szCs w:val="24"/>
        </w:rPr>
      </w:pPr>
      <w:r w:rsidRPr="00FC0ACE">
        <w:rPr>
          <w:rFonts w:ascii="宋体" w:eastAsia="宋体" w:hAnsi="宋体" w:cs="Times New Roman" w:hint="eastAsia"/>
          <w:b/>
          <w:sz w:val="24"/>
          <w:szCs w:val="24"/>
        </w:rPr>
        <w:t>做好科研管理“加减法”，充分激发科研人员创新活力</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通知》的总体思路是坚持推进放管服改革、坚持放权不滥权、坚持放权不越线，同时简洁管用，不求面面俱到成体系。”有关负责人解读说，在推进放管服改革的过程中，要按中央要求应放尽放，切实减轻科研人员负担，让科研人员把更多的时间精力投入科研创新活动。同时，明确科研经费性质与使用底线要求，明确反对奢侈浪费，引导科研人员更多关注科研本身，营造良好的学风。</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据介绍，《通知》在完善科研管理制度、细化科研经费管理、优化管理服务、加强诚信建设、强化科研部门责任、完善监督机制等方面提出了具体举措，直指科研管理长期存在的问题。</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比如，明确科研人员差旅费、会议费、国际合作与交流费、专家咨询费、劳务费等，由高校结合学校实际自主确定开支标准、报销范围，优化审批程序，简化报销手续；用于科研活动的仪器设备、耗材备件以及服务、工程的采购，各高校要根据科研需要，制定具体办法，缩短采购周期，简化采购流程；减少科研经</w:t>
      </w:r>
      <w:r w:rsidRPr="00FC0ACE">
        <w:rPr>
          <w:rFonts w:ascii="宋体" w:eastAsia="宋体" w:hAnsi="宋体" w:cs="Times New Roman" w:hint="eastAsia"/>
          <w:sz w:val="24"/>
          <w:szCs w:val="24"/>
        </w:rPr>
        <w:lastRenderedPageBreak/>
        <w:t>费报销各类证明材料，缩减审批环节，简化报销流程，推进网络服务；自由探索类基础研究和实施周期3年以下项目，不做过程检查。</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有关负责人解读说，赋予科研管理更大的自主权，既要应放尽放，又要有明确的底线要求。因此，《通知》明确要求高校建立完善学术助理和财务助理制度，根据科研需要和科研人员意愿，统筹落实专门经费、专职人员。各高校科研项目中提取的间接费用，要更多用于科研绩效奖励，加大科研人员绩效工资比重。同时，建立检查结果共享机制，最大限度降低对科研活动的干扰。</w:t>
      </w:r>
    </w:p>
    <w:p w:rsidR="00FC0ACE" w:rsidRPr="00FC0ACE" w:rsidRDefault="00FC0ACE" w:rsidP="00FC0ACE">
      <w:pPr>
        <w:spacing w:line="360" w:lineRule="auto"/>
        <w:ind w:firstLineChars="200" w:firstLine="482"/>
        <w:rPr>
          <w:rFonts w:ascii="宋体" w:eastAsia="宋体" w:hAnsi="宋体" w:cs="Times New Roman"/>
          <w:b/>
          <w:sz w:val="24"/>
          <w:szCs w:val="24"/>
        </w:rPr>
      </w:pPr>
      <w:r w:rsidRPr="00FC0ACE">
        <w:rPr>
          <w:rFonts w:ascii="宋体" w:eastAsia="宋体" w:hAnsi="宋体" w:cs="Times New Roman" w:hint="eastAsia"/>
          <w:b/>
          <w:sz w:val="24"/>
          <w:szCs w:val="24"/>
        </w:rPr>
        <w:t>划出政策红线底线，给高校吃下定心丸</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高校是科研自主权落实的主体，政策举措能否落地见效，科研人员能否有获得感，关键要看高校是否能把下放的权力转化成实实在在的操作措施。”有关负责人表示，为此，《通知》明确高校党委担负落实科研自主权主体责任，要求高校党委充分认识落实科研管理政策创新的重要意义，坚决贯彻党中央、国务院各项部署要求，切实进一步抓好赋予科研管理更大自主权有关文件贯彻落实工作。</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在简洁管用的思路下，《通知》对科研活动接待费、涉及科研经费使用问题的信访举报办理以及教育系统纪检监察、审计、巡视巡察部门对高校落实科研自主权的支持、保障等备受关注的问题一一作出明确规定。</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通知》从充分保护科研人员的角度出发，着眼于抓早抓小，改进工作机制，强化科研管理部门责任，层层设置‘防火墙’。”有关负责人表示，涉及科研经费使用问题的信访举报，先由高校科研管理部门牵头组织办理，发现存在违规问题的，高校科研管理部门会同有关部门按规定予以通报批评、暂停项目拨款、终止项目执行、追回已拨项目资金、取消项目负责人一定期限内申报资格等处罚。涉嫌违纪的，由高校纪委调查核实，运用监督执纪“四种形态”进行处理。涉嫌违法犯罪的，由高校纪委调查核实后按规定移送地方纪委监委审查调查，并配合依纪依法妥善处理。</w:t>
      </w:r>
    </w:p>
    <w:p w:rsidR="00FC0ACE" w:rsidRP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据介绍，关于教育系统纪检监察、审计、巡视巡察部门对高校落实科研自主权的支持、保障，《通知》明确要求，要统筹规范各类监督检查，建立检查结果共享机制，强化政治监督，在监督执纪中要充分尊重科研规律，切实推动营造良好科研创新和育人环境。</w:t>
      </w:r>
    </w:p>
    <w:p w:rsidR="00FC0ACE" w:rsidRDefault="00FC0ACE" w:rsidP="00FC0ACE">
      <w:pPr>
        <w:spacing w:line="360" w:lineRule="auto"/>
        <w:ind w:firstLineChars="200" w:firstLine="480"/>
        <w:rPr>
          <w:rFonts w:ascii="宋体" w:eastAsia="宋体" w:hAnsi="宋体" w:cs="Times New Roman"/>
          <w:sz w:val="24"/>
          <w:szCs w:val="24"/>
        </w:rPr>
      </w:pPr>
      <w:r w:rsidRPr="00FC0ACE">
        <w:rPr>
          <w:rFonts w:ascii="宋体" w:eastAsia="宋体" w:hAnsi="宋体" w:cs="Times New Roman" w:hint="eastAsia"/>
          <w:sz w:val="24"/>
          <w:szCs w:val="24"/>
        </w:rPr>
        <w:t>有关负责人表示，《通知》在一些政策规定方面有更明确的表述。比如，明</w:t>
      </w:r>
      <w:r w:rsidRPr="00FC0ACE">
        <w:rPr>
          <w:rFonts w:ascii="宋体" w:eastAsia="宋体" w:hAnsi="宋体" w:cs="Times New Roman" w:hint="eastAsia"/>
          <w:sz w:val="24"/>
          <w:szCs w:val="24"/>
        </w:rPr>
        <w:lastRenderedPageBreak/>
        <w:t>确规定“除国家和项目主管部门有明确具体规定外，各高校根据党中央、国务院有关文件精神制定的相关管理办法，可作为预算编制、经费管理、审计检查、财务验收、评估评审、巡视督查以及纪律检查等工作的重要依据”。在广受关注的科研活动接待费方面，《通知》明确，根据高校科研工作实际，横向科研经费中开支少量科研活动接待费。只要委托方或合同中未明确禁止，按照科研活动实际需要，科研人员可以开支少量科研活动接待费。但同时，要求学校对科研活动接待费要确定具体管理办法，避免铺张浪费。</w:t>
      </w:r>
      <w:r>
        <w:rPr>
          <w:rFonts w:ascii="宋体" w:eastAsia="宋体" w:hAnsi="宋体" w:cs="Times New Roman" w:hint="eastAsia"/>
          <w:sz w:val="24"/>
          <w:szCs w:val="24"/>
        </w:rPr>
        <w:t>(来源:</w:t>
      </w:r>
      <w:r w:rsidR="0074146F">
        <w:rPr>
          <w:rFonts w:ascii="宋体" w:eastAsia="宋体" w:hAnsi="宋体" w:cs="Times New Roman" w:hint="eastAsia"/>
          <w:sz w:val="24"/>
          <w:szCs w:val="24"/>
        </w:rPr>
        <w:t>中国教育新闻网</w:t>
      </w:r>
      <w:r>
        <w:rPr>
          <w:rFonts w:ascii="宋体" w:eastAsia="宋体" w:hAnsi="宋体" w:cs="Times New Roman" w:hint="eastAsia"/>
          <w:sz w:val="24"/>
          <w:szCs w:val="24"/>
        </w:rPr>
        <w:t>。)</w:t>
      </w:r>
    </w:p>
    <w:p w:rsidR="0076610C" w:rsidRPr="009A7DA2" w:rsidRDefault="0076610C" w:rsidP="0076610C">
      <w:pPr>
        <w:pStyle w:val="2"/>
        <w:jc w:val="center"/>
        <w:rPr>
          <w:rFonts w:ascii="宋体" w:eastAsia="宋体" w:hAnsi="宋体"/>
          <w:sz w:val="30"/>
          <w:szCs w:val="30"/>
        </w:rPr>
      </w:pPr>
      <w:bookmarkStart w:id="11" w:name="_Toc12291673"/>
      <w:r w:rsidRPr="009A7DA2">
        <w:rPr>
          <w:rFonts w:ascii="宋体" w:eastAsia="宋体" w:hAnsi="宋体" w:hint="eastAsia"/>
          <w:sz w:val="30"/>
          <w:szCs w:val="30"/>
        </w:rPr>
        <w:t>应用转型促发展 综合施策抓质量</w:t>
      </w:r>
      <w:bookmarkEnd w:id="11"/>
    </w:p>
    <w:p w:rsidR="0076610C"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党的十九大报告指出，实现高等教育内涵式发展。新时代要实现高等教育内涵式发展是一项系统工程，单一措施是难以奏效的，需要综合施策。海口经济学院全面推进海南省示范应用型本科高校建设，出台了一系列制度措施，打出了推动学校内涵发展的一套组合拳，强力推进应用转型和本科教育质量提升。</w:t>
      </w:r>
    </w:p>
    <w:p w:rsidR="0076610C" w:rsidRPr="00CA69D8" w:rsidRDefault="0076610C" w:rsidP="0076610C">
      <w:pPr>
        <w:spacing w:line="360" w:lineRule="auto"/>
        <w:ind w:firstLineChars="200" w:firstLine="482"/>
        <w:rPr>
          <w:rFonts w:ascii="宋体" w:eastAsia="宋体" w:hAnsi="宋体" w:cs="Times New Roman"/>
          <w:sz w:val="24"/>
          <w:szCs w:val="24"/>
        </w:rPr>
      </w:pPr>
      <w:r w:rsidRPr="009A7DA2">
        <w:rPr>
          <w:rFonts w:ascii="宋体" w:eastAsia="宋体" w:hAnsi="宋体" w:cs="Times New Roman" w:hint="eastAsia"/>
          <w:b/>
          <w:sz w:val="24"/>
          <w:szCs w:val="24"/>
        </w:rPr>
        <w:t>启动应用转型建设</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应用型大学的质量提升，最根本的是要使专业设置适应地方需求，办学为地方经济社会发展服务；人才培养瞄准行业企业需求，具备适应行业企业岗位的实践能力和应用技能；科学研究坚持以应用为主，立足解决行业企业发展中的难题。基于这一指导思想，学校启动应用转型建设，强化顶层设计，制定了“十依据，一加减”的转型路径，把以能力为导向、以模块化课程建设为核心的应用转型做实做细。各学院、各专业反复打磨，精准对接海南相关产业，科学设置专业及制定各专业的模块化课程方案，确保各专业的方案接地气、可操作。</w:t>
      </w:r>
    </w:p>
    <w:p w:rsidR="0076610C"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为强化学生实践能力和实用技能的培养，除了加强实验实训外，学校将社会实践和第二课堂纳入第一课堂管理，每年寒暑假都安排学生围绕课程学习进行主题社会实践。学校实行“一专三证（两项目）”制度，即学生毕业时须取得毕业证、学位证和职业技能证，若该专业无职业技能证可考，须用两个创新创业项目结项替代。</w:t>
      </w:r>
    </w:p>
    <w:p w:rsidR="0076610C" w:rsidRPr="00CA69D8" w:rsidRDefault="0076610C" w:rsidP="0076610C">
      <w:pPr>
        <w:spacing w:line="360" w:lineRule="auto"/>
        <w:ind w:firstLineChars="200" w:firstLine="482"/>
        <w:rPr>
          <w:rFonts w:ascii="宋体" w:eastAsia="宋体" w:hAnsi="宋体" w:cs="Times New Roman"/>
          <w:sz w:val="24"/>
          <w:szCs w:val="24"/>
        </w:rPr>
      </w:pPr>
      <w:r w:rsidRPr="009A7DA2">
        <w:rPr>
          <w:rFonts w:ascii="宋体" w:eastAsia="宋体" w:hAnsi="宋体" w:cs="Times New Roman" w:hint="eastAsia"/>
          <w:b/>
          <w:sz w:val="24"/>
          <w:szCs w:val="24"/>
        </w:rPr>
        <w:t>取消清考制度</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“书籍是人类进步的阶梯”，而当今大学生最大的问题是有许多人不爱读书。大学生天天打游戏、谈恋爱，浑浑噩噩地混日子。为了改变这种现状，扭转许多</w:t>
      </w:r>
      <w:r w:rsidRPr="009A7DA2">
        <w:rPr>
          <w:rFonts w:ascii="宋体" w:eastAsia="宋体" w:hAnsi="宋体" w:cs="Times New Roman" w:hint="eastAsia"/>
          <w:sz w:val="24"/>
          <w:szCs w:val="24"/>
        </w:rPr>
        <w:lastRenderedPageBreak/>
        <w:t>学生“混大学”的现象，早在2017年，学校就取消了清考制度，对每学期不及格四门课及以上的学生实行学业警示，对补考及重修后仍不及格的学生按留级或退学处理。学校实施“每天三查、每周一处理”制度，即每天查学生上课迟到、缺课情况和教师课堂教学，每周对检查情况汇总处理一次，严格课堂管理。</w:t>
      </w:r>
    </w:p>
    <w:p w:rsidR="0076610C"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这在学生中引起了强烈震动，使学生感到在学校“混大学”已经行不通了。学校还对学生读书提出硬要求，落实“海经必读计划”，推进“围绕课程读书和记课堂笔记”制度，要求每门核心课程向学生推荐1—3本阅读书目，学生围绕课程阅读并记好读书笔记，并将此纳入学生平时成绩的考核，占该门课总成绩的10%。学校在抓警示和提硬要求的同时，实施考研奖励制度，以正面引导拉动学风建设。</w:t>
      </w:r>
    </w:p>
    <w:p w:rsidR="0076610C" w:rsidRPr="00CA69D8" w:rsidRDefault="0076610C" w:rsidP="0076610C">
      <w:pPr>
        <w:spacing w:line="360" w:lineRule="auto"/>
        <w:ind w:firstLineChars="200" w:firstLine="482"/>
        <w:rPr>
          <w:rFonts w:ascii="宋体" w:eastAsia="宋体" w:hAnsi="宋体" w:cs="Times New Roman"/>
          <w:sz w:val="24"/>
          <w:szCs w:val="24"/>
        </w:rPr>
      </w:pPr>
      <w:r w:rsidRPr="009A7DA2">
        <w:rPr>
          <w:rFonts w:ascii="宋体" w:eastAsia="宋体" w:hAnsi="宋体" w:cs="Times New Roman" w:hint="eastAsia"/>
          <w:b/>
          <w:sz w:val="24"/>
          <w:szCs w:val="24"/>
        </w:rPr>
        <w:t>将教育质量指标化</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落实教育质量提升任务的主体是二级学院，提升二级学院的积极性和主动性，需要形成二级学院主动抓教育质量的机制。学校出台质量导向考核制度，以就业率、应用转型建设率、教师队伍建设达标率、精品课程建设率、毕业生职业技能考证率、考研率、党建思政工作完成率、学生违纪率等12项衡量教育教学质量的指标考核二级学院，考核分为A、B、C、D四等，考核为A等的学院奖励总经费的4%，在全校形成争相抓教育质量的局面。</w:t>
      </w:r>
    </w:p>
    <w:p w:rsidR="0076610C"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为了形成全员育人、全过程育人、全方位育人的氛围和机制，学校围绕学生品行养成和学业管理，实施了学业导师、学生辅导员、班主任三位一体的学生管理模式，一体即指每一个班级都要有学业导师、学生辅导员、班主任。学校规定全校科级以上行政部门的负责人（包括所有校领导）都必须根据自己的专业，选择做班级的学业导师或是班主任。这些措施对学生发展起到了保驾护航的作用，精心呵护着学生的健康成长。</w:t>
      </w:r>
    </w:p>
    <w:p w:rsidR="0076610C" w:rsidRPr="00CA69D8" w:rsidRDefault="0076610C" w:rsidP="0076610C">
      <w:pPr>
        <w:spacing w:line="360" w:lineRule="auto"/>
        <w:ind w:firstLineChars="200" w:firstLine="482"/>
        <w:rPr>
          <w:rFonts w:ascii="宋体" w:eastAsia="宋体" w:hAnsi="宋体" w:cs="Times New Roman"/>
          <w:sz w:val="24"/>
          <w:szCs w:val="24"/>
        </w:rPr>
      </w:pPr>
      <w:r w:rsidRPr="009A7DA2">
        <w:rPr>
          <w:rFonts w:ascii="宋体" w:eastAsia="宋体" w:hAnsi="宋体" w:cs="Times New Roman" w:hint="eastAsia"/>
          <w:b/>
          <w:sz w:val="24"/>
          <w:szCs w:val="24"/>
        </w:rPr>
        <w:t>实施教学质量督查制度</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一分部署，九分落实。为了抓好上述管理举措的落实，学校制定了《海口经济学院督查条例》，每学期至少开展一次“应用转型和教学质量督查”。每次督查结束后召开全校大会，总结交流督查情况，在全校形成扎实抓质量建设的良好局面。</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伴随教学改革的不断深入，学校教学质量明显提升，教学成果不断涌现。近</w:t>
      </w:r>
      <w:r w:rsidRPr="009A7DA2">
        <w:rPr>
          <w:rFonts w:ascii="宋体" w:eastAsia="宋体" w:hAnsi="宋体" w:cs="Times New Roman" w:hint="eastAsia"/>
          <w:sz w:val="24"/>
          <w:szCs w:val="24"/>
        </w:rPr>
        <w:lastRenderedPageBreak/>
        <w:t>两年，学校共获得国家级、省级学科专业竞赛奖项308项，其中，2018年获第八届POCIB全国大学生外贸从业能力大赛（秋季赛）团体特等奖；2018年全国大学生数学建模竞赛获本科组全国二等奖6项，为海南高校最好成绩。</w:t>
      </w:r>
    </w:p>
    <w:p w:rsidR="0076610C" w:rsidRPr="009A7DA2"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巩固学校学科竞赛取得的成绩，学校要在今后的工作中加大教师对学生学科竞赛的指导，通过“三进”，即让学生进团队、进课题、进实验室，提高学科竞赛参与率和获奖率；通过强化学科竞赛经费支持力度、强化科研支持力度、强化专家参与指导学科竞赛力度，提升学校学科竞赛的核心竞争力，推动学校整体发展。</w:t>
      </w:r>
    </w:p>
    <w:p w:rsidR="0076610C" w:rsidRDefault="0076610C" w:rsidP="0076610C">
      <w:pPr>
        <w:spacing w:line="360" w:lineRule="auto"/>
        <w:ind w:firstLineChars="200" w:firstLine="480"/>
        <w:rPr>
          <w:rFonts w:ascii="宋体" w:eastAsia="宋体" w:hAnsi="宋体" w:cs="Times New Roman"/>
          <w:sz w:val="24"/>
          <w:szCs w:val="24"/>
        </w:rPr>
      </w:pPr>
      <w:r w:rsidRPr="009A7DA2">
        <w:rPr>
          <w:rFonts w:ascii="宋体" w:eastAsia="宋体" w:hAnsi="宋体" w:cs="Times New Roman" w:hint="eastAsia"/>
          <w:sz w:val="24"/>
          <w:szCs w:val="24"/>
        </w:rPr>
        <w:t>为进一步贯彻落实全国教育大会精神和新时代全国高校本科教育工作会议要求，学校近期相继出台了《一师一优课计划》《教师人人质量提升计划》《全覆盖课程质量综合评价办法》等新举措，促使学校质量建设的步伐走得更坚实，助推学校本科教育工作迈上新台阶。（</w:t>
      </w:r>
      <w:r>
        <w:rPr>
          <w:rFonts w:ascii="宋体" w:eastAsia="宋体" w:hAnsi="宋体" w:cs="Times New Roman" w:hint="eastAsia"/>
          <w:sz w:val="24"/>
          <w:szCs w:val="24"/>
        </w:rPr>
        <w:t>来源：《中国教育报》。</w:t>
      </w:r>
      <w:r w:rsidRPr="009A7DA2">
        <w:rPr>
          <w:rFonts w:ascii="宋体" w:eastAsia="宋体" w:hAnsi="宋体" w:cs="Times New Roman" w:hint="eastAsia"/>
          <w:sz w:val="24"/>
          <w:szCs w:val="24"/>
        </w:rPr>
        <w:t>作者</w:t>
      </w:r>
      <w:r>
        <w:rPr>
          <w:rFonts w:ascii="宋体" w:eastAsia="宋体" w:hAnsi="宋体" w:cs="Times New Roman" w:hint="eastAsia"/>
          <w:sz w:val="24"/>
          <w:szCs w:val="24"/>
        </w:rPr>
        <w:t>：</w:t>
      </w:r>
      <w:r w:rsidRPr="009A7DA2">
        <w:rPr>
          <w:rFonts w:ascii="宋体" w:eastAsia="宋体" w:hAnsi="宋体" w:cs="Times New Roman" w:hint="eastAsia"/>
          <w:sz w:val="24"/>
          <w:szCs w:val="24"/>
        </w:rPr>
        <w:t>王兴隆</w:t>
      </w:r>
      <w:r>
        <w:rPr>
          <w:rFonts w:ascii="宋体" w:eastAsia="宋体" w:hAnsi="宋体" w:cs="Times New Roman" w:hint="eastAsia"/>
          <w:sz w:val="24"/>
          <w:szCs w:val="24"/>
        </w:rPr>
        <w:t xml:space="preserve"> 海口经济学院</w:t>
      </w:r>
      <w:r w:rsidRPr="009A7DA2">
        <w:rPr>
          <w:rFonts w:ascii="宋体" w:eastAsia="宋体" w:hAnsi="宋体" w:cs="Times New Roman" w:hint="eastAsia"/>
          <w:sz w:val="24"/>
          <w:szCs w:val="24"/>
        </w:rPr>
        <w:t>副院长）</w:t>
      </w:r>
    </w:p>
    <w:p w:rsidR="0076610C" w:rsidRDefault="0076610C" w:rsidP="0076610C">
      <w:pPr>
        <w:spacing w:line="360" w:lineRule="auto"/>
        <w:rPr>
          <w:rFonts w:ascii="宋体" w:eastAsia="宋体" w:hAnsi="宋体" w:cs="Times New Roman"/>
          <w:b/>
          <w:sz w:val="30"/>
          <w:szCs w:val="30"/>
        </w:rPr>
      </w:pPr>
      <w:r w:rsidRPr="0076610C">
        <w:rPr>
          <w:rFonts w:ascii="宋体" w:eastAsia="宋体" w:hAnsi="宋体" w:cs="Times New Roman" w:hint="eastAsia"/>
          <w:b/>
          <w:sz w:val="30"/>
          <w:szCs w:val="30"/>
        </w:rPr>
        <w:t>他山之石</w:t>
      </w:r>
    </w:p>
    <w:p w:rsidR="0076610C" w:rsidRPr="006D3093" w:rsidRDefault="0076610C" w:rsidP="0076610C">
      <w:pPr>
        <w:pStyle w:val="2"/>
        <w:jc w:val="center"/>
        <w:rPr>
          <w:rFonts w:ascii="宋体" w:eastAsia="宋体" w:hAnsi="宋体"/>
          <w:sz w:val="30"/>
          <w:szCs w:val="30"/>
        </w:rPr>
      </w:pPr>
      <w:bookmarkStart w:id="12" w:name="_Toc12291674"/>
      <w:r w:rsidRPr="006D3093">
        <w:rPr>
          <w:rFonts w:ascii="宋体" w:eastAsia="宋体" w:hAnsi="宋体" w:hint="eastAsia"/>
          <w:sz w:val="30"/>
          <w:szCs w:val="30"/>
        </w:rPr>
        <w:t>从西北师大看“新师范”的起承转合</w:t>
      </w:r>
      <w:bookmarkEnd w:id="12"/>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中国的地理中心，藏、回、汉族文化交汇的古城兰州，有一所经历了百十年办学历史的高等师范学府——西北师范大学，这是一所在变法维新的思潮中诞生，经历了抗日烽火的洗礼，在祖国的大西北进行了又一次艰苦卓绝的创业，与中国师范教育的发展血脉相通的高等学府。</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作为一所“老牌”师范院校，在面对国际国内社会与教育发展的新形势时，西北师大始终与国家教育事业的发展同频共振。近年来，学校坚守初心、高擎师范教育大旗，充分发挥教师教育特色优势，在西部地区率先提出了“新师范”教育创新行动计划，推进教师教育改革，助力教师教育质量升级，引领教师教育事业发展。</w:t>
      </w:r>
    </w:p>
    <w:p w:rsidR="0076610C" w:rsidRPr="006D3093" w:rsidRDefault="0076610C" w:rsidP="0076610C">
      <w:pPr>
        <w:spacing w:line="360" w:lineRule="auto"/>
        <w:ind w:firstLineChars="200" w:firstLine="482"/>
        <w:rPr>
          <w:rFonts w:ascii="宋体" w:eastAsia="宋体" w:hAnsi="宋体" w:cs="Times New Roman"/>
          <w:b/>
          <w:sz w:val="24"/>
          <w:szCs w:val="24"/>
        </w:rPr>
      </w:pPr>
      <w:r w:rsidRPr="006D3093">
        <w:rPr>
          <w:rFonts w:ascii="宋体" w:eastAsia="宋体" w:hAnsi="宋体" w:cs="Times New Roman" w:hint="eastAsia"/>
          <w:b/>
          <w:sz w:val="24"/>
          <w:szCs w:val="24"/>
        </w:rPr>
        <w:t>坚守初心</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80年前，一位教育家带领一群教育人辗转陕西城固来到兰州，在黄河岸边扎下了根。在这里，一代又一代学贯中西、知行合一的贤者良师深耕梦想，为教育事业播洒希望；从这里，10多万学子奔赴甘肃、新疆、青海、西藏等西部省</w:t>
      </w:r>
      <w:r w:rsidRPr="006D3093">
        <w:rPr>
          <w:rFonts w:ascii="宋体" w:eastAsia="宋体" w:hAnsi="宋体" w:cs="Times New Roman" w:hint="eastAsia"/>
          <w:sz w:val="24"/>
          <w:szCs w:val="24"/>
        </w:rPr>
        <w:lastRenderedPageBreak/>
        <w:t>区的基层教育一线，为教育事业奉献青春。</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本校是特殊的学校，与其他大学不同，其目标有二：一是培植优良师资，特别是中等学校师资；二是研究高深学术，特别是教育学术。”亲手缔造了国立西北师范学院的教育家李蒸，建校时就为这所师范类院校的发展“定”了方向。因此，西北师大从诞生之日起就注定了她的“师范”属性。</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曾任西北师范大学校长，第六、七届全国政协委员的著名教育学家李秉德先生对教育专注了70年，毕生致力于课程与教学论的研究，在教学论、教育科</w:t>
      </w:r>
      <w:r>
        <w:rPr>
          <w:rFonts w:ascii="宋体" w:eastAsia="宋体" w:hAnsi="宋体" w:cs="Times New Roman" w:hint="eastAsia"/>
          <w:sz w:val="24"/>
          <w:szCs w:val="24"/>
        </w:rPr>
        <w:t>学研究方法、小学语文教育等学科领域颇有建树，堪称开拓者和奠基人。</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2016年7月，在爱课程“中国大学MOOC”的平台上，西北师大教授张筱兰主讲的“交互式电子白板教学应用”正式上线。截至目前已“圈粉”13万余人，取得了高通过率的优异成绩。此课被认定为2017年国家精品在线开放课程，也是甘肃省唯一通过此项认定的课程。</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他们站在时代的前沿，用先进的教育理念、进步的教育思想，使师范教育事业薪火相传。</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正是这种“基因”的代代相传，也正是这种初心不改的责任与担当，今日的西北师大，经过百十年来的精心打磨，已经拥有了一支结构合理、素质优良，教学、管理、服务水平科学有效的教育师资队伍。</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在整个办学历程中，西北师大始终把培养卓越教师作为学校发展的重中之重，经过不断实践，探索出由教师教育课程体系、教育技能培训体系、教育实习实践体系等组成的新型教师教育体系，构建了集“培养、研究、实验、示范”为一体的教育办学模式，开辟甘肃乃至整个西部高等师范教育的先河。</w:t>
      </w:r>
    </w:p>
    <w:p w:rsidR="0076610C" w:rsidRPr="006D3093" w:rsidRDefault="0076610C" w:rsidP="0076610C">
      <w:pPr>
        <w:spacing w:line="360" w:lineRule="auto"/>
        <w:ind w:firstLineChars="200" w:firstLine="482"/>
        <w:rPr>
          <w:rFonts w:ascii="宋体" w:eastAsia="宋体" w:hAnsi="宋体" w:cs="Times New Roman"/>
          <w:b/>
          <w:sz w:val="24"/>
          <w:szCs w:val="24"/>
        </w:rPr>
      </w:pPr>
      <w:r w:rsidRPr="006D3093">
        <w:rPr>
          <w:rFonts w:ascii="宋体" w:eastAsia="宋体" w:hAnsi="宋体" w:cs="Times New Roman" w:hint="eastAsia"/>
          <w:b/>
          <w:sz w:val="24"/>
          <w:szCs w:val="24"/>
        </w:rPr>
        <w:t>综合探索</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“我们必须抓住历史机遇，担负起师范大学的教育使命，深化教育改革，创新培养模式，提高培养质量，努力开创师范教育发展的新局面。”西北师大校长刘仲奎说。</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这一次，西北师大又站在师范教育的前沿，担起了新时代的责任和使命。2018年，学校提出了“新师范”教育创新行动计划，以普通高等学校师范类专业认证为抓手，适应教师教育发展需求，立足于培养造就一批教育情怀深厚、专业基础扎实、勇于创新教学、善于综合育人、适应和引领基础教育改革、具有未来教育</w:t>
      </w:r>
      <w:r w:rsidRPr="006D3093">
        <w:rPr>
          <w:rFonts w:ascii="宋体" w:eastAsia="宋体" w:hAnsi="宋体" w:cs="Times New Roman" w:hint="eastAsia"/>
          <w:sz w:val="24"/>
          <w:szCs w:val="24"/>
        </w:rPr>
        <w:lastRenderedPageBreak/>
        <w:t>家潜质的高素质专业化创新型卓越教师。</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抓住教师就抓住了教育改革的“牛鼻子”。西北师大在每个师范专业学院设立中学名师工作室，选聘120名中学特级教师、骨干教师进入学校外聘教师库，深度参与师范生培养工作。不断加强教师教育学科建设，通过组织集中培训、校本教研、见习观摩等，提高教师教育师资的专业化水平，引导推动学科课程与教学论教师开展基础教育研究。</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要让通识教育进一步向厚基础、宽口径的方向发展。”西北师大STEAM创新教育工坊课程负责人摆玉龙教授说。2017年6月，西北师大成立了STEAM创新教育工坊，打破学科界限，建立跨学科的人才培养模式，面向全校各专业学生，精心设计教学内容，满</w:t>
      </w:r>
      <w:r>
        <w:rPr>
          <w:rFonts w:ascii="宋体" w:eastAsia="宋体" w:hAnsi="宋体" w:cs="Times New Roman" w:hint="eastAsia"/>
          <w:sz w:val="24"/>
          <w:szCs w:val="24"/>
        </w:rPr>
        <w:t>足各专业学生实现通识教育的需求。</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2019年，6个专业60</w:t>
      </w:r>
      <w:r>
        <w:rPr>
          <w:rFonts w:ascii="宋体" w:eastAsia="宋体" w:hAnsi="宋体" w:cs="Times New Roman" w:hint="eastAsia"/>
          <w:sz w:val="24"/>
          <w:szCs w:val="24"/>
        </w:rPr>
        <w:t>名学生进入“本硕一体化”卓越中学教师培养计划项。</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“新师范”不仅仅体现在“内容”上，更体现在“过程”中。平均每20个实习生就有1个教育实践基地，将见习、实习、研习科学融入师范生培养全过程。</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建立师德养成教育“新平台”，创设现代师范教育教学“新课堂”，丰富和提升实践教学“新内涵”，构建协同培养“新格局”，推动教师教育师资队伍建设“新发展”，对标卓越教师培养“新标准”，探索师范专业录取“新模式”，创立多学科交叉融合的新型技术师资培养“新工坊”，拓展教师终身学习“新路径”。西北师大这些具有“特色”的举措为“新师范”注入了活力，通过多重探索，逐步建立了师资培训、教学模式、实施评价的全面体系，让其成为引领师范教育的“新规”。</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同时，适应教育发展需求，分类推进卓越中学、幼儿园、特殊教育学校教师培养改革。培养专业突出、底蕴深厚的反思型卓越中学教师；探索本科和教育硕士、博士研究生阶段整体设计、有机衔接的研究型教师培养模式；培养幼儿为本、擅长保教的卓越幼儿园教师；培养富有爱心、具有复合型知识技能的特教教师。做好职前培养和职后培训的一体化设计，使职后教师培训反哺职前师范生培养。</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对于师范类高校而言，还有一个“主业”就是做好师范专业课程的改革。为满足基础教育对高水平师资的需求，西北师大积极整合教师教育优势资源，加强教师教育专业建设。</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“听他的这个课真是一种享受，内容体系完整科学，案例鲜活丰富，你会觉</w:t>
      </w:r>
      <w:r w:rsidRPr="006D3093">
        <w:rPr>
          <w:rFonts w:ascii="宋体" w:eastAsia="宋体" w:hAnsi="宋体" w:cs="Times New Roman" w:hint="eastAsia"/>
          <w:sz w:val="24"/>
          <w:szCs w:val="24"/>
        </w:rPr>
        <w:lastRenderedPageBreak/>
        <w:t>得语文教学很美好。”文学院大二学生董恩龙对教育学院靳健教授主讲的“语文课程与教学设计”由衷地热爱，该课于2017年被评为国家级精品资源共享课。</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像这样的国家级精品课程，西北师大还有杨改学的“教育传播学”、郭绍青的“现代教育技术应用”、吕世虎的“中学数学课程标准与教材研究”等等。积极推进教师教育在线混合式课程改革、优化教师教育课程体系，西北师大对教师教育课程改革的探索与实践，对西部地区的教师教育发展具有较强的借鉴意义，在一定程度上形成了探索教师教育发展的“头雁效应”。</w:t>
      </w:r>
    </w:p>
    <w:p w:rsidR="0076610C" w:rsidRPr="006D3093" w:rsidRDefault="0076610C" w:rsidP="0076610C">
      <w:pPr>
        <w:spacing w:line="360" w:lineRule="auto"/>
        <w:ind w:firstLineChars="200" w:firstLine="482"/>
        <w:rPr>
          <w:rFonts w:ascii="宋体" w:eastAsia="宋体" w:hAnsi="宋体" w:cs="Times New Roman"/>
          <w:b/>
          <w:sz w:val="24"/>
          <w:szCs w:val="24"/>
        </w:rPr>
      </w:pPr>
      <w:r w:rsidRPr="006D3093">
        <w:rPr>
          <w:rFonts w:ascii="宋体" w:eastAsia="宋体" w:hAnsi="宋体" w:cs="Times New Roman" w:hint="eastAsia"/>
          <w:b/>
          <w:sz w:val="24"/>
          <w:szCs w:val="24"/>
        </w:rPr>
        <w:t>厚植情怀</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“站在讲台上，你才能真切感受到当老师的那份神圣。”在阿克苏实习支教的大四学生周思媛更加笃定自己的梦想。</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支教期间我收到了人生中第一封‘情书’，一个叫迪丽热巴的女孩子写信告诉我，她非常喜欢生物这门学科，因为她长大后想做一名医生。我回信告诉她每一个梦想都是伟大的，只要肯为之努力。她几乎是哭着对我说，她没有想到我真的会给她回信。那一刻，我真正明白了‘教育无小事，事事都育人’。本以为我是来陪伴着孩子们长大，其实我在和他们共同成长啊！”第20批赴新疆阿克苏实习支教学生冯雪婷对那段宝贵的经历记忆犹新。</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这些故事令人动容。西师学子义无反顾选择去“支教”，这些“从教”情怀源于一场“约定”。</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2008年，西北师范大学和新疆维吾尔自治区教育厅签署校地合作协议，对口支援阿克苏地区基础教育发展，缓解新疆基层中小学教师短缺问题。</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十多年来，共有3800多名学生在新疆维吾尔自治区就业。西北师大每年派出两批优秀师范生赴疆，以联合编队的形式在阿克苏支教，先后共有22批4339名学子“接力”这场“支教的马拉松”，把优质教育的种子撒播在了新疆阿克苏这片热土上。他们秉承着先师们的“西迁精神”，把优质的师范教育再向西推进了1000多公里，把优质的教师培训也向西推进了1000多公里。</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西北师大这一具有时代情怀的举措，不仅为新疆维吾尔自治区教育质量提升作出了重要贡献，也让奉献教育、服务社会成为师范生师德教育的第一粒纽扣，筑牢了学生们的“从师”信念。“我们培养的老师不仅下得去、留得住，而且用得上、干得好。”西北师大党委书记张俊宗说。</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lastRenderedPageBreak/>
        <w:t>“从学生到老师，再到优质课竞赛一等奖的获得者，我还得感念母校，我是在西北师大搭建的平台上一步步成长起来的。”成县四中教师曹永安由衷感叹。</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三年前从西北师大毕业的他，如今驾驭课堂游刃有余，承担着高中地理教学任务，并获得2018年成县优质课竞赛高中地理组一等奖，已成“教学能手”的曹永安甚是认同当年学校开展的“六大模块”教学能力的提升训练。</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这所被誉为培养西北教育人才“摇篮”的大学，为社会源源不断地“输送”着教育师资。先后培养了10多万名合格教师和中小学校长、2000余名教育硕士。在甘肃省86个县市区的示范中学中60%以上的骨干教师、80%以上的特级教师都毕业于这里。在甘肃最偏远的山区、最贫困的乡村，甚至在西北五省区和西藏地区最高寒、最边远、最贫困的地方，无数西师人自觉地将自己的使命与这片贫瘠的土地联系在一起，弘扬教化，传播薪火，为服务基础教育、农村教育、民族教育奉献着年华。</w:t>
      </w:r>
    </w:p>
    <w:p w:rsidR="0076610C" w:rsidRPr="006D3093" w:rsidRDefault="0076610C" w:rsidP="0076610C">
      <w:pPr>
        <w:spacing w:line="360" w:lineRule="auto"/>
        <w:ind w:firstLineChars="200" w:firstLine="480"/>
        <w:rPr>
          <w:rFonts w:ascii="宋体" w:eastAsia="宋体" w:hAnsi="宋体" w:cs="Times New Roman"/>
          <w:sz w:val="24"/>
          <w:szCs w:val="24"/>
        </w:rPr>
      </w:pPr>
      <w:r w:rsidRPr="006D3093">
        <w:rPr>
          <w:rFonts w:ascii="宋体" w:eastAsia="宋体" w:hAnsi="宋体" w:cs="Times New Roman" w:hint="eastAsia"/>
          <w:sz w:val="24"/>
          <w:szCs w:val="24"/>
        </w:rPr>
        <w:t>立德树人有道，春风化雨无声。西北师大让教师教育的成果惠及祖国大地，抽象的概念变为一个个带有温度的人生选择，闪烁在个体融入时代主流的协奏曲中。这所百年老校，是当之无愧的人民教师“摇篮”，是丝绸之路上一座照亮人们心灵的灯塔，指引着教师教育前行的方向。</w:t>
      </w:r>
      <w:r>
        <w:rPr>
          <w:rFonts w:ascii="宋体" w:eastAsia="宋体" w:hAnsi="宋体" w:cs="Times New Roman" w:hint="eastAsia"/>
          <w:sz w:val="24"/>
          <w:szCs w:val="24"/>
        </w:rPr>
        <w:t>（来源：</w:t>
      </w:r>
      <w:r w:rsidR="00AE251C">
        <w:rPr>
          <w:rFonts w:ascii="宋体" w:eastAsia="宋体" w:hAnsi="宋体" w:cs="Times New Roman" w:hint="eastAsia"/>
          <w:sz w:val="24"/>
          <w:szCs w:val="24"/>
        </w:rPr>
        <w:t>中国教育新闻网</w:t>
      </w:r>
      <w:r>
        <w:rPr>
          <w:rFonts w:ascii="宋体" w:eastAsia="宋体" w:hAnsi="宋体" w:cs="Times New Roman" w:hint="eastAsia"/>
          <w:sz w:val="24"/>
          <w:szCs w:val="24"/>
        </w:rPr>
        <w:t>。）</w:t>
      </w:r>
    </w:p>
    <w:p w:rsidR="0076610C" w:rsidRPr="00EA7725" w:rsidRDefault="0076610C" w:rsidP="0076610C">
      <w:pPr>
        <w:pStyle w:val="2"/>
        <w:jc w:val="center"/>
        <w:rPr>
          <w:rFonts w:ascii="宋体" w:eastAsia="宋体" w:hAnsi="宋体"/>
          <w:sz w:val="30"/>
          <w:szCs w:val="30"/>
        </w:rPr>
      </w:pPr>
      <w:bookmarkStart w:id="13" w:name="_Toc12291675"/>
      <w:r w:rsidRPr="00EA7725">
        <w:rPr>
          <w:rFonts w:ascii="宋体" w:eastAsia="宋体" w:hAnsi="宋体" w:hint="eastAsia"/>
          <w:sz w:val="30"/>
          <w:szCs w:val="30"/>
        </w:rPr>
        <w:t>西安交大：通识课可以这样创出新意</w:t>
      </w:r>
      <w:bookmarkEnd w:id="13"/>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周四晚7点30分，西安交通大学东一楼330教室座无虚席，“能源与互联网”通识课正在进行。讲台上，满头白发的中国科学院院士王锡凡神采飞扬，全程站立授课。台下，学生们聚精会神地听着，不时记着笔记。大一学生田泽水难掩兴奋：“第一次上课就‘邂逅’院士，很意外也很激动，好期待接下来的课程。”</w:t>
      </w:r>
    </w:p>
    <w:p w:rsidR="0076610C"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2018年9月，教育部印发《关于狠抓新时代全国高等学校本科教育工作会议精神落实的通知》，要求各高校全面梳理各门课程教学内容，淘汰“水课”，打造“金课”。适应国家招生考试改革新政策，</w:t>
      </w:r>
      <w:r w:rsidR="00CA656A">
        <w:rPr>
          <w:rFonts w:ascii="宋体" w:eastAsia="宋体" w:hAnsi="宋体" w:cs="Times New Roman" w:hint="eastAsia"/>
          <w:sz w:val="24"/>
          <w:szCs w:val="24"/>
        </w:rPr>
        <w:t>西安交大</w:t>
      </w:r>
      <w:r w:rsidRPr="007025C7">
        <w:rPr>
          <w:rFonts w:ascii="宋体" w:eastAsia="宋体" w:hAnsi="宋体" w:cs="Times New Roman" w:hint="eastAsia"/>
          <w:sz w:val="24"/>
          <w:szCs w:val="24"/>
        </w:rPr>
        <w:t>在通识课程建设上持续发力，通过院士等优秀专家学者领衔、升级课程体系、改革传统模式等一系列举措，全力打造有深度、有广度的“通识金课”，取得了明显成效。</w:t>
      </w:r>
    </w:p>
    <w:p w:rsidR="0076610C" w:rsidRPr="00CA69D8" w:rsidRDefault="0076610C" w:rsidP="0076610C">
      <w:pPr>
        <w:spacing w:line="360" w:lineRule="auto"/>
        <w:ind w:firstLineChars="200" w:firstLine="482"/>
        <w:rPr>
          <w:rFonts w:ascii="宋体" w:eastAsia="宋体" w:hAnsi="宋体" w:cs="Times New Roman"/>
          <w:sz w:val="24"/>
          <w:szCs w:val="24"/>
        </w:rPr>
      </w:pPr>
      <w:r w:rsidRPr="00EA7725">
        <w:rPr>
          <w:rFonts w:ascii="宋体" w:eastAsia="宋体" w:hAnsi="宋体" w:cs="Times New Roman" w:hint="eastAsia"/>
          <w:b/>
          <w:sz w:val="24"/>
          <w:szCs w:val="24"/>
        </w:rPr>
        <w:t>院士领衔，通识课程融合“课程思政”</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由包括院士在内的优秀专家学者领衔，组建团队打造优质金课，已日渐成为</w:t>
      </w:r>
      <w:r w:rsidRPr="007025C7">
        <w:rPr>
          <w:rFonts w:ascii="宋体" w:eastAsia="宋体" w:hAnsi="宋体" w:cs="Times New Roman" w:hint="eastAsia"/>
          <w:sz w:val="24"/>
          <w:szCs w:val="24"/>
        </w:rPr>
        <w:lastRenderedPageBreak/>
        <w:t>西安交大通识课程建设的新动向。该校63门通识核心课中，由院士领衔打造的就有4门，还有不少由长江学者、国家教学名师等高层次人才领衔。</w:t>
      </w:r>
    </w:p>
    <w:p w:rsidR="0076610C" w:rsidRPr="00EA7725"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除了引进“大咖”助阵外，西安交大的通识课程在内容上还添加了一味重要“作料”——思政育人，教师们努力在通识课中发掘和贯彻“课程思政”理念，将理想信念、家国情怀、社会主义核心价值观塑造等思政育人的理念巧妙融会其中。</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选修了中国工程院院士邱爱慈领衔的通识核心课“聚变能源与等离子体”，西安交大电气学院大三学生孙寻航没想到自己还会有“意外收获”：“邱院士不仅给我们讲述了热核武器原理、效应及试验等知识，还结合当年她和程开甲院士、林俊德院士等一起在新疆马兰基地为祖国国防事业奋斗的经历，穿插讲述了一些‘两弹一星’攻坚中的小故事，老一辈科学家爱国奉献的精神让人感动。正是他们的默默付出，才有了国家如今的繁荣昌盛。”</w:t>
      </w:r>
    </w:p>
    <w:p w:rsidR="0076610C"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思政味儿不仅给通识课堂带来了变化，也让通识课程迈上了新台阶。2018年，西安交大立项17门“课程思政”示范课程，提供专项经费支持，有7门通识课程入选。</w:t>
      </w:r>
    </w:p>
    <w:p w:rsidR="0076610C" w:rsidRPr="00CA69D8" w:rsidRDefault="0076610C" w:rsidP="0076610C">
      <w:pPr>
        <w:spacing w:line="360" w:lineRule="auto"/>
        <w:ind w:firstLineChars="200" w:firstLine="482"/>
        <w:rPr>
          <w:rFonts w:ascii="宋体" w:eastAsia="宋体" w:hAnsi="宋体" w:cs="Times New Roman"/>
          <w:sz w:val="24"/>
          <w:szCs w:val="24"/>
        </w:rPr>
      </w:pPr>
      <w:r w:rsidRPr="00EA7725">
        <w:rPr>
          <w:rFonts w:ascii="宋体" w:eastAsia="宋体" w:hAnsi="宋体" w:cs="Times New Roman" w:hint="eastAsia"/>
          <w:b/>
          <w:sz w:val="24"/>
          <w:szCs w:val="24"/>
        </w:rPr>
        <w:t>构建“五大模块”，科学与艺术教育深度融合</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这学期开始，西安交大通识核心课“交响音乐赏析”第一次全国见面课正式开课，全国有近30所学校的学生在线选修了该课程。包括这门课程在内，目前西安交大已有7门品牌通识课建成国家级在线开放课程，发挥着辐射示范效应。</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交响音乐赏析”是西安交大通识课程“文化传承与艺术审美”模块的代表课程。经过几年的建设发展，西安交大实现了通识课程从初步建成规模体系向体现通识质量和内涵的2.0版全面升级。学校以“结构性课程群”为导向，在通识课程建设中设置了科学探索与技术创新、全球视野与当代中国、文化传承与艺术审美、生命关怀与社会认知、哲学智慧与创新思维五大模块，涵盖培养学生成人成才所需的跨专业的基础知识、核心能力、多元思维、综合素质、核心价值等，使学生在古今中外、理工文医等多学科交融中理解文明、传承文化，培育价值、塑造品质，形成探究精神和创新思维。</w:t>
      </w:r>
    </w:p>
    <w:p w:rsidR="0076610C" w:rsidRPr="00EA7725"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“五大模块设置的背后蕴含了交通大学杰出校友钱学森的大成智慧学，将科学教育与艺术教育进行了高度融合。”西安交大教务处副处长杨建科说，每个模</w:t>
      </w:r>
      <w:r w:rsidRPr="007025C7">
        <w:rPr>
          <w:rFonts w:ascii="宋体" w:eastAsia="宋体" w:hAnsi="宋体" w:cs="Times New Roman" w:hint="eastAsia"/>
          <w:sz w:val="24"/>
          <w:szCs w:val="24"/>
        </w:rPr>
        <w:lastRenderedPageBreak/>
        <w:t>块都按照同一模块内培养目标接近的原则建设和优化课程单元。</w:t>
      </w:r>
    </w:p>
    <w:p w:rsidR="0076610C"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钢琴演奏表演艺术”这门课深受西安交大学生欢迎，选课时经常被“秒抢”。一次，西安交大教务处通识教育中心一名教师和学生聊起对其影响最大的课程时，令他感到惊讶的是，有一名学生回答是“钢琴演奏表演艺术”。这名学生以前从未摸过钢琴，在他看来，这门艺术实践课打开了他认识世界的又一扇窗，思考问题时多了不同的视角。</w:t>
      </w:r>
    </w:p>
    <w:p w:rsidR="0076610C" w:rsidRPr="00CA69D8" w:rsidRDefault="0076610C" w:rsidP="0076610C">
      <w:pPr>
        <w:spacing w:line="360" w:lineRule="auto"/>
        <w:ind w:firstLineChars="200" w:firstLine="482"/>
        <w:rPr>
          <w:rFonts w:ascii="宋体" w:eastAsia="宋体" w:hAnsi="宋体" w:cs="Times New Roman"/>
          <w:sz w:val="24"/>
          <w:szCs w:val="24"/>
        </w:rPr>
      </w:pPr>
      <w:r w:rsidRPr="00EA7725">
        <w:rPr>
          <w:rFonts w:ascii="宋体" w:eastAsia="宋体" w:hAnsi="宋体" w:cs="Times New Roman" w:hint="eastAsia"/>
          <w:b/>
          <w:sz w:val="24"/>
          <w:szCs w:val="24"/>
        </w:rPr>
        <w:t>打破传统，不断释放课堂活力</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课程改革往往聚焦教学方式和手段上的变革，西安交大基础通识类核心课“社会学概论”教学团队却在授课教师身上做起了“文章”，其“锵锵四人行”系列教学法创新实践，将“对话”引入教学，由来自社会学、经济学、心理学3个不同学科的4名教师同台授课，激发一场场头脑风暴。“剩男剩女能否结秦晋之好”“在生死存亡面前，谁将是幸运儿”等话题也进了课堂，这种授课形式一经推出就迅速火爆全校。</w:t>
      </w:r>
    </w:p>
    <w:p w:rsidR="0076610C" w:rsidRPr="007025C7"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这正是西安交大改革通识课程传统教学模式的缩影。该校大力推行大班讲授和小班研讨，积极调动学生参与课堂讨论的同时，打破传统教学方式方法，大胆尝试，不断释放课堂活力。</w:t>
      </w:r>
    </w:p>
    <w:p w:rsidR="0076610C" w:rsidRDefault="0076610C" w:rsidP="0076610C">
      <w:pPr>
        <w:spacing w:line="360" w:lineRule="auto"/>
        <w:ind w:firstLineChars="200" w:firstLine="480"/>
        <w:rPr>
          <w:rFonts w:ascii="宋体" w:eastAsia="宋体" w:hAnsi="宋体" w:cs="Times New Roman"/>
          <w:sz w:val="24"/>
          <w:szCs w:val="24"/>
        </w:rPr>
      </w:pPr>
      <w:r w:rsidRPr="007025C7">
        <w:rPr>
          <w:rFonts w:ascii="宋体" w:eastAsia="宋体" w:hAnsi="宋体" w:cs="Times New Roman" w:hint="eastAsia"/>
          <w:sz w:val="24"/>
          <w:szCs w:val="24"/>
        </w:rPr>
        <w:t>西安交大还鼓励通识课程教师采用“雨课堂”“翻转课堂”等信息化手段和方式授课，推动信息技术与教育教学深度融合，促进优质教育资源应用与共享。能动学院徐东海副教授负责的“能源与人类文明发展”通识课程就采用了“翻转课堂”教学模式，线上不仅有课程标准、授课计划等完整的学习资料，还经常组织学生讨论、学习内容考核等，线上线下教学资源的充分结合，极大增强了学生学习的自主性和互动性。</w:t>
      </w:r>
      <w:r w:rsidR="00AF4B86">
        <w:rPr>
          <w:rFonts w:ascii="宋体" w:eastAsia="宋体" w:hAnsi="宋体" w:cs="Times New Roman" w:hint="eastAsia"/>
          <w:sz w:val="24"/>
          <w:szCs w:val="24"/>
        </w:rPr>
        <w:t>（来源：中国社会科学网。）</w:t>
      </w:r>
    </w:p>
    <w:p w:rsidR="00872D05" w:rsidRPr="00082DDD" w:rsidRDefault="00872D05" w:rsidP="00872D05">
      <w:pPr>
        <w:pStyle w:val="2"/>
        <w:jc w:val="center"/>
        <w:rPr>
          <w:rFonts w:ascii="宋体" w:eastAsia="宋体" w:hAnsi="宋体"/>
          <w:sz w:val="30"/>
          <w:szCs w:val="30"/>
        </w:rPr>
      </w:pPr>
      <w:bookmarkStart w:id="14" w:name="_Toc12291676"/>
      <w:r w:rsidRPr="00082DDD">
        <w:rPr>
          <w:rFonts w:ascii="宋体" w:eastAsia="宋体" w:hAnsi="宋体" w:hint="eastAsia"/>
          <w:sz w:val="30"/>
          <w:szCs w:val="30"/>
        </w:rPr>
        <w:t>企业背后的高校智囊团</w:t>
      </w:r>
      <w:bookmarkEnd w:id="14"/>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2016年，安徽信息工程学院正式成立。作为一所由高科技企业——科大讯飞全资举办的民办应用型大学，诞生伊始，就具有了独特的产业基因和创新使命。</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“不搞花架子，教师和学生都要干实事，我们要做的事情很简单，就是要把‘学科链’和‘地方产业链’串在一起。”建校时，校长吴敏就对发展之路做出了清晰的规划。</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lastRenderedPageBreak/>
        <w:t>如何破解高校科研成果与企业技术攻关两张皮的现象？</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“第一步，打开校门，我们到企业去！”</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2017年，高涛觉得自己像是“泡”在了企业里，他带领着学校计算机、电气、机械等优势学科专业，组织科技开发团队跑遍了芜湖当地大大小小百余家企业。“平均下来每周都要跑1—2家企业。有些时候为了深入了解情况，同样的企业还要反复去。”</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面对这样一所“与众不同”的年轻学校，当地企业家将信将疑：“干了这么多年，第一次碰到这么接地气的大学。他们真的是来解决问题的吗，还是一阵风的运动？”</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为了进一步消除他们的顾虑，2017年，学校举行了第一届校企合作对接会。“我们把企业家请到学校来，让他们和我们的教师坐下来面对面聊一聊。企业家谈问题，教师针对问题找科研项目。”高涛说。</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“不谈不知道，一谈居然让企业跑上了创新发展之路！”在对接会上，安徽美瑞尔滤清器有限公司董事长陈孝钱提出了困扰企业许久的两大难题：湿法检测过程中怎样避免水污染，烘干设备如何降低能耗。</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听完陈孝钱的问题，在场的机械工程学院教师丁正龙非常兴奋，因为他的研究方向正好瞄准这一领域。</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这一次会面之后，丁正龙便一头扎进了陈孝钱的工厂里，在企业的生产一线做起了自己的科研课题。仅用半年，丁正龙和他的团队就为陈孝钱的生产线量身定制了一套滤清器自动化检测设备，一次性帮助他们解决了两大难题。</w:t>
      </w:r>
    </w:p>
    <w:p w:rsidR="00872D05" w:rsidRPr="00082DDD" w:rsidRDefault="00872D05" w:rsidP="00872D05">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Pr="00082DDD">
        <w:rPr>
          <w:rFonts w:ascii="宋体" w:eastAsia="宋体" w:hAnsi="宋体" w:cs="Times New Roman" w:hint="eastAsia"/>
          <w:sz w:val="24"/>
          <w:szCs w:val="24"/>
        </w:rPr>
        <w:t>“现在企业生产有难题，第一时间想到的就是联系高处长，找大学教授定制技术攻关方案，有智囊团在身后‘撑腰’，办企业的底气都足了。”陈孝钱说。</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到企业做科研，教师能获得什么？</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能给教师1分，学校就保障10分，我们把科研的自主权下放给教师，保证教师最大利益的实现，学校配合做好所有的后勤保障工作。”高涛说。2016年，学校出台《横向科研经费项目管理办法》，明确提出项目基金学校只预留8%的管理费，其余全部交由项目负责人制定预算、自主使用。</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在学校，教师还找到了科研落地的踏实感。2018年，该校电气与电子工程学院教师马利祥大胆创新，计划为黄山亿利公司设计一套基于NFC（近场通信）</w:t>
      </w:r>
      <w:r w:rsidRPr="00082DDD">
        <w:rPr>
          <w:rFonts w:ascii="宋体" w:eastAsia="宋体" w:hAnsi="宋体" w:cs="Times New Roman" w:hint="eastAsia"/>
          <w:sz w:val="24"/>
          <w:szCs w:val="24"/>
        </w:rPr>
        <w:lastRenderedPageBreak/>
        <w:t>的电子箱封系统。这个项目耗时长、需要多学科协作，马利祥向学校说明了困难。学校马上从软件学院调配了相关专业人员来配合马利祥的研究。</w:t>
      </w:r>
    </w:p>
    <w:p w:rsidR="00872D05" w:rsidRPr="00082DDD" w:rsidRDefault="00872D05" w:rsidP="00872D05">
      <w:pPr>
        <w:spacing w:line="360" w:lineRule="auto"/>
        <w:ind w:firstLineChars="200" w:firstLine="480"/>
        <w:rPr>
          <w:rFonts w:ascii="宋体" w:eastAsia="宋体" w:hAnsi="宋体" w:cs="Times New Roman"/>
          <w:sz w:val="24"/>
          <w:szCs w:val="24"/>
        </w:rPr>
      </w:pPr>
      <w:r w:rsidRPr="00082DDD">
        <w:rPr>
          <w:rFonts w:ascii="宋体" w:eastAsia="宋体" w:hAnsi="宋体" w:cs="Times New Roman" w:hint="eastAsia"/>
          <w:sz w:val="24"/>
          <w:szCs w:val="24"/>
        </w:rPr>
        <w:t>“站在学校层面，马老师做不了的领域，我们一定帮他协调好，教师只需要负责自己的科研领域，商务谈判和前端服务我们来做，绝不给他们增添额外负担。”高涛说。</w:t>
      </w:r>
    </w:p>
    <w:p w:rsidR="00872D05" w:rsidRDefault="00872D05" w:rsidP="00872D05">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w:t>
      </w:r>
      <w:r w:rsidRPr="00082DDD">
        <w:rPr>
          <w:rFonts w:ascii="宋体" w:eastAsia="宋体" w:hAnsi="宋体" w:cs="Times New Roman" w:hint="eastAsia"/>
          <w:sz w:val="24"/>
          <w:szCs w:val="24"/>
        </w:rPr>
        <w:t>“教师的心有了归属，企业得到了科技红利，而我们要做好服务者。”从2016年的一项横向课题到如今3年来的71项横向课题，安徽信息工程学院在帮助企业创新、服务地方需求的应用型发展道路上走得越来越坚定。</w:t>
      </w:r>
      <w:r>
        <w:rPr>
          <w:rFonts w:ascii="宋体" w:eastAsia="宋体" w:hAnsi="宋体" w:cs="Times New Roman" w:hint="eastAsia"/>
          <w:sz w:val="24"/>
          <w:szCs w:val="24"/>
        </w:rPr>
        <w:t>（来源：《中国教育报》。）</w:t>
      </w:r>
    </w:p>
    <w:p w:rsidR="0076610C" w:rsidRPr="0076610C" w:rsidRDefault="0076610C" w:rsidP="0076610C">
      <w:pPr>
        <w:spacing w:line="360" w:lineRule="auto"/>
        <w:rPr>
          <w:rFonts w:ascii="宋体" w:eastAsia="宋体" w:hAnsi="宋体" w:cs="Times New Roman"/>
          <w:b/>
          <w:sz w:val="30"/>
          <w:szCs w:val="30"/>
        </w:rPr>
      </w:pPr>
      <w:r>
        <w:rPr>
          <w:rFonts w:ascii="宋体" w:eastAsia="宋体" w:hAnsi="宋体" w:cs="Times New Roman" w:hint="eastAsia"/>
          <w:b/>
          <w:sz w:val="30"/>
          <w:szCs w:val="30"/>
        </w:rPr>
        <w:t>高教视点</w:t>
      </w:r>
    </w:p>
    <w:p w:rsidR="00C93441" w:rsidRPr="00C93441" w:rsidRDefault="00C93441" w:rsidP="00C93441">
      <w:pPr>
        <w:pStyle w:val="2"/>
        <w:jc w:val="center"/>
        <w:rPr>
          <w:rFonts w:ascii="宋体" w:eastAsia="宋体" w:hAnsi="宋体"/>
          <w:sz w:val="30"/>
          <w:szCs w:val="30"/>
        </w:rPr>
      </w:pPr>
      <w:bookmarkStart w:id="15" w:name="_Toc12291677"/>
      <w:r w:rsidRPr="00C93441">
        <w:rPr>
          <w:rFonts w:ascii="宋体" w:eastAsia="宋体" w:hAnsi="宋体" w:hint="eastAsia"/>
          <w:sz w:val="30"/>
          <w:szCs w:val="30"/>
        </w:rPr>
        <w:t>慕课来了 高校存在的价值在哪里</w:t>
      </w:r>
      <w:bookmarkEnd w:id="15"/>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传统的教育课程就是一门教材，由老师将它打成几个知识点，每一堂课讲几个知识点，然后到了期末划重点考重点，考完重点得高分，最后学生留下来的是什么？”在第四届高等教育创新年会上，西交利物浦大学执行校长、英国利物浦大学副校长席酉民对传统大学教育模式提出了担忧：“当有大量的慕课（大规模开放在线课程）出现，我们学校存在的价值是什么？怎么样生存？能给学生带来额外的价值是什么？”</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“如果你想来混签到，你可以选择退课；如果你想来混出席，你可以选择退课；如果你想来混作业，你可以选择退课……”</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在天津工业大学第一堂全校选修课上，孙永利便向学生阐述了“退课”的十大理由。平时上课，他的教室后门会始终敞开，学生可以随时走或者随时加入，充分享有学习的选择权和自主权。</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孙永利的微信签名为“致力于把‘水课’变成金课”。他以创新实验室为基地，组建学生俱乐部，采取股份制管理，引进沙盘企业模拟竞赛与课程，开设专项创新实践活动，用“赛中学、学中做、做中研、研中悟”的方式，让学生有乐趣地学习。</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“现在有许多像孙永利这样的教育工作者，非常重视教学和学生培养，希望能给学生极佳的学习体验。”西交利物浦大学领导与教育前沿院常务副院长张晓</w:t>
      </w:r>
      <w:r w:rsidRPr="00C93441">
        <w:rPr>
          <w:rFonts w:ascii="宋体" w:eastAsia="宋体" w:hAnsi="宋体" w:cs="Times New Roman" w:hint="eastAsia"/>
          <w:sz w:val="24"/>
          <w:szCs w:val="24"/>
        </w:rPr>
        <w:lastRenderedPageBreak/>
        <w:t>军博士说。</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在本届教学创新大赛上，来自全国各地的21支参赛团队从364组550余名教师中脱颖而出进入决赛，从技术、教学方法等角度分享他们的教育创新案例和成果，超过400位教师在现场观摩并提问互动。</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大连理工大学的王开宇团队获得了本届大赛的特等奖。王开宇开设国家级精品资源共享课《数字电路与系统》，指导学生多次参与教育部协同育人和国家级大学生创新创业项目，带领教学团队发表教学研究论文17篇，获国家教学奖项多次。</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参加这样的赛事，让我们有平台将自己的教学工作汇总归拢，最终以决赛形式展现。”王开宇表示，“我们愿意把自己的教学创新工作向大家分享，同时，我们从众多投身于教学的参赛老师身上，学习到了其他创新教学理念和经验。”</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让社会各界能够理解和支持这群教育创新工作者，是举办教育创新大赛的意义所在。大赛组委会特意设置大众评审环节，旨在通过投票过程让参赛教师逐渐获得大众认同。</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本届大赛在短短10天时间内，共有360多万人次浏览了参赛作品，累计投票超过37万。</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这一切都给了参赛者在教学改革道路上继续前行的动力。</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来自西南交通大学的宋爱玲参加了第二届西浦全国教学创新大赛并获得二等奖，比赛结束后，她变得更加自信，也愿意大胆尝试新的突破。她会不定期参与讨论和分享教学创新的相关话题，并将其融入灵活运用到自身课堂。</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如今，她在原本跨学科课程基础上，提出了“主题计划”来解决学生知识深度问题，加入机器人动手环节培养学生编程及创新意识，并且开始注重学生特质的分析以及有效评量体系的构建等方面。她形容自己“仿佛一头扎进了教学的海洋中，无法自拔且精力充沛”。</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教育创新大赛是西交利物浦大学高等教育创新年会的重要组成部分，此外，年会还包括主题演讲、高端论坛、研修工作坊及创新实践展等系列活动，并在本届大赛筹备过程中，首次推出教育创新者大会。</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该会只允许历届参赛者参会，不设嘉宾和领导，也没有确定议程，在两天三夜的行程中，可以自由选择分组，通过户外活动、辩论、故事分享等各种方式进</w:t>
      </w:r>
      <w:r w:rsidRPr="00C93441">
        <w:rPr>
          <w:rFonts w:ascii="宋体" w:eastAsia="宋体" w:hAnsi="宋体" w:cs="Times New Roman" w:hint="eastAsia"/>
          <w:sz w:val="24"/>
          <w:szCs w:val="24"/>
        </w:rPr>
        <w:lastRenderedPageBreak/>
        <w:t>行“高手过招”。</w:t>
      </w:r>
    </w:p>
    <w:p w:rsidR="00C93441" w:rsidRP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会上还将目前教育领域悬而未决的难题作为共同话题，进行深层次地探讨并予以立项，引导与者不断思考和实践，从而无形中推动教学创新的发展。</w:t>
      </w:r>
    </w:p>
    <w:p w:rsidR="00C93441" w:rsidRDefault="00C93441" w:rsidP="00C93441">
      <w:pPr>
        <w:spacing w:line="360" w:lineRule="auto"/>
        <w:ind w:firstLineChars="200" w:firstLine="480"/>
        <w:rPr>
          <w:rFonts w:ascii="宋体" w:eastAsia="宋体" w:hAnsi="宋体" w:cs="Times New Roman"/>
          <w:sz w:val="24"/>
          <w:szCs w:val="24"/>
        </w:rPr>
      </w:pPr>
      <w:r w:rsidRPr="00C93441">
        <w:rPr>
          <w:rFonts w:ascii="宋体" w:eastAsia="宋体" w:hAnsi="宋体" w:cs="Times New Roman" w:hint="eastAsia"/>
          <w:sz w:val="24"/>
          <w:szCs w:val="24"/>
        </w:rPr>
        <w:t>“这是一个全球重塑教育的时代，教学创新过程是为了让教育回归育人本质。而我们所能做的，是动员更多人参与探索新的教学方式，把全国最好的教学实践集中起来，通过互相碰撞、相互学习、相互提升，逐步形成以学生中心、结果为导向、持续改进的教育新模式。”席酉民如是说。（来源：</w:t>
      </w:r>
      <w:r w:rsidR="009A5C63">
        <w:rPr>
          <w:rFonts w:ascii="宋体" w:eastAsia="宋体" w:hAnsi="宋体" w:cs="Times New Roman" w:hint="eastAsia"/>
          <w:sz w:val="24"/>
          <w:szCs w:val="24"/>
        </w:rPr>
        <w:t>《</w:t>
      </w:r>
      <w:r w:rsidRPr="00C93441">
        <w:rPr>
          <w:rFonts w:ascii="宋体" w:eastAsia="宋体" w:hAnsi="宋体" w:cs="Times New Roman" w:hint="eastAsia"/>
          <w:sz w:val="24"/>
          <w:szCs w:val="24"/>
        </w:rPr>
        <w:t>中国青年报</w:t>
      </w:r>
      <w:r w:rsidR="009A5C63">
        <w:rPr>
          <w:rFonts w:ascii="宋体" w:eastAsia="宋体" w:hAnsi="宋体" w:cs="Times New Roman" w:hint="eastAsia"/>
          <w:sz w:val="24"/>
          <w:szCs w:val="24"/>
        </w:rPr>
        <w:t>》。</w:t>
      </w:r>
      <w:r w:rsidRPr="00C93441">
        <w:rPr>
          <w:rFonts w:ascii="宋体" w:eastAsia="宋体" w:hAnsi="宋体" w:cs="Times New Roman" w:hint="eastAsia"/>
          <w:sz w:val="24"/>
          <w:szCs w:val="24"/>
        </w:rPr>
        <w:t>）</w:t>
      </w:r>
    </w:p>
    <w:p w:rsidR="00393D82" w:rsidRDefault="00393D82" w:rsidP="00393D82">
      <w:pPr>
        <w:spacing w:line="360" w:lineRule="auto"/>
        <w:ind w:firstLineChars="200" w:firstLine="480"/>
        <w:rPr>
          <w:rFonts w:ascii="宋体" w:eastAsia="宋体" w:hAnsi="宋体" w:cs="Times New Roman"/>
          <w:sz w:val="24"/>
          <w:szCs w:val="24"/>
        </w:rPr>
      </w:pPr>
    </w:p>
    <w:sectPr w:rsidR="00393D82" w:rsidSect="00524759">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7B" w:rsidRDefault="0052237B" w:rsidP="00C93441">
      <w:r>
        <w:separator/>
      </w:r>
    </w:p>
  </w:endnote>
  <w:endnote w:type="continuationSeparator" w:id="1">
    <w:p w:rsidR="0052237B" w:rsidRDefault="0052237B" w:rsidP="00C934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2529"/>
      <w:docPartObj>
        <w:docPartGallery w:val="Page Numbers (Bottom of Page)"/>
        <w:docPartUnique/>
      </w:docPartObj>
    </w:sdtPr>
    <w:sdtContent>
      <w:p w:rsidR="00524759" w:rsidRDefault="001B4E8D">
        <w:pPr>
          <w:pStyle w:val="a4"/>
          <w:jc w:val="center"/>
        </w:pPr>
        <w:fldSimple w:instr=" PAGE   \* MERGEFORMAT ">
          <w:r w:rsidR="009F4B58" w:rsidRPr="009F4B58">
            <w:rPr>
              <w:noProof/>
              <w:lang w:val="zh-CN"/>
            </w:rPr>
            <w:t>1</w:t>
          </w:r>
        </w:fldSimple>
      </w:p>
    </w:sdtContent>
  </w:sdt>
  <w:p w:rsidR="00750754" w:rsidRDefault="007507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7B" w:rsidRDefault="0052237B" w:rsidP="00C93441">
      <w:r>
        <w:separator/>
      </w:r>
    </w:p>
  </w:footnote>
  <w:footnote w:type="continuationSeparator" w:id="1">
    <w:p w:rsidR="0052237B" w:rsidRDefault="0052237B" w:rsidP="00C934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441"/>
    <w:rsid w:val="00000C92"/>
    <w:rsid w:val="00082DDD"/>
    <w:rsid w:val="000C56D1"/>
    <w:rsid w:val="0012427B"/>
    <w:rsid w:val="0016254D"/>
    <w:rsid w:val="001B4E8D"/>
    <w:rsid w:val="001E3353"/>
    <w:rsid w:val="00240E57"/>
    <w:rsid w:val="00353BDC"/>
    <w:rsid w:val="00384D10"/>
    <w:rsid w:val="00393D82"/>
    <w:rsid w:val="00470A1C"/>
    <w:rsid w:val="0052237B"/>
    <w:rsid w:val="00524759"/>
    <w:rsid w:val="005B102C"/>
    <w:rsid w:val="00640AEB"/>
    <w:rsid w:val="00661F4B"/>
    <w:rsid w:val="00670F0B"/>
    <w:rsid w:val="006B4896"/>
    <w:rsid w:val="006D3093"/>
    <w:rsid w:val="006F3E84"/>
    <w:rsid w:val="007025C7"/>
    <w:rsid w:val="0072218C"/>
    <w:rsid w:val="00730360"/>
    <w:rsid w:val="0074146F"/>
    <w:rsid w:val="00750754"/>
    <w:rsid w:val="0076322B"/>
    <w:rsid w:val="00763DE5"/>
    <w:rsid w:val="0076610C"/>
    <w:rsid w:val="00821712"/>
    <w:rsid w:val="008218D1"/>
    <w:rsid w:val="00872D05"/>
    <w:rsid w:val="008C4CDB"/>
    <w:rsid w:val="008C6B56"/>
    <w:rsid w:val="009421BD"/>
    <w:rsid w:val="00965CFE"/>
    <w:rsid w:val="00967F22"/>
    <w:rsid w:val="009A5C63"/>
    <w:rsid w:val="009A7DA2"/>
    <w:rsid w:val="009F4B58"/>
    <w:rsid w:val="00A01226"/>
    <w:rsid w:val="00AA55E2"/>
    <w:rsid w:val="00AC22C0"/>
    <w:rsid w:val="00AC6D9A"/>
    <w:rsid w:val="00AE251C"/>
    <w:rsid w:val="00AF4B86"/>
    <w:rsid w:val="00B239AF"/>
    <w:rsid w:val="00B3199D"/>
    <w:rsid w:val="00B61038"/>
    <w:rsid w:val="00B951E1"/>
    <w:rsid w:val="00BD3CB6"/>
    <w:rsid w:val="00C14EB1"/>
    <w:rsid w:val="00C40816"/>
    <w:rsid w:val="00C57666"/>
    <w:rsid w:val="00C93441"/>
    <w:rsid w:val="00CA656A"/>
    <w:rsid w:val="00CA69D8"/>
    <w:rsid w:val="00CB448A"/>
    <w:rsid w:val="00D44295"/>
    <w:rsid w:val="00D56ED8"/>
    <w:rsid w:val="00D63D4A"/>
    <w:rsid w:val="00EA7725"/>
    <w:rsid w:val="00FC0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2B"/>
    <w:pPr>
      <w:widowControl w:val="0"/>
      <w:jc w:val="both"/>
    </w:pPr>
  </w:style>
  <w:style w:type="paragraph" w:styleId="1">
    <w:name w:val="heading 1"/>
    <w:basedOn w:val="a"/>
    <w:link w:val="1Char"/>
    <w:uiPriority w:val="9"/>
    <w:qFormat/>
    <w:rsid w:val="00C9344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C93441"/>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3441"/>
    <w:rPr>
      <w:sz w:val="18"/>
      <w:szCs w:val="18"/>
    </w:rPr>
  </w:style>
  <w:style w:type="paragraph" w:styleId="a4">
    <w:name w:val="footer"/>
    <w:basedOn w:val="a"/>
    <w:link w:val="Char0"/>
    <w:uiPriority w:val="99"/>
    <w:unhideWhenUsed/>
    <w:rsid w:val="00C93441"/>
    <w:pPr>
      <w:tabs>
        <w:tab w:val="center" w:pos="4153"/>
        <w:tab w:val="right" w:pos="8306"/>
      </w:tabs>
      <w:snapToGrid w:val="0"/>
      <w:jc w:val="left"/>
    </w:pPr>
    <w:rPr>
      <w:sz w:val="18"/>
      <w:szCs w:val="18"/>
    </w:rPr>
  </w:style>
  <w:style w:type="character" w:customStyle="1" w:styleId="Char0">
    <w:name w:val="页脚 Char"/>
    <w:basedOn w:val="a0"/>
    <w:link w:val="a4"/>
    <w:uiPriority w:val="99"/>
    <w:rsid w:val="00C93441"/>
    <w:rPr>
      <w:sz w:val="18"/>
      <w:szCs w:val="18"/>
    </w:rPr>
  </w:style>
  <w:style w:type="character" w:customStyle="1" w:styleId="1Char">
    <w:name w:val="标题 1 Char"/>
    <w:basedOn w:val="a0"/>
    <w:link w:val="1"/>
    <w:uiPriority w:val="9"/>
    <w:rsid w:val="00C93441"/>
    <w:rPr>
      <w:rFonts w:ascii="宋体" w:eastAsia="宋体" w:hAnsi="宋体" w:cs="宋体"/>
      <w:b/>
      <w:bCs/>
      <w:kern w:val="36"/>
      <w:sz w:val="48"/>
      <w:szCs w:val="48"/>
    </w:rPr>
  </w:style>
  <w:style w:type="paragraph" w:styleId="a5">
    <w:name w:val="Normal (Web)"/>
    <w:basedOn w:val="a"/>
    <w:uiPriority w:val="99"/>
    <w:semiHidden/>
    <w:unhideWhenUsed/>
    <w:rsid w:val="00C93441"/>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rsid w:val="00C93441"/>
    <w:rPr>
      <w:rFonts w:ascii="Arial" w:eastAsia="黑体" w:hAnsi="Arial" w:cs="Times New Roman"/>
      <w:b/>
      <w:bCs/>
      <w:sz w:val="32"/>
      <w:szCs w:val="32"/>
    </w:rPr>
  </w:style>
  <w:style w:type="paragraph" w:styleId="20">
    <w:name w:val="toc 2"/>
    <w:basedOn w:val="a"/>
    <w:next w:val="a"/>
    <w:autoRedefine/>
    <w:uiPriority w:val="39"/>
    <w:unhideWhenUsed/>
    <w:rsid w:val="00750754"/>
    <w:pPr>
      <w:ind w:leftChars="200" w:left="420"/>
    </w:pPr>
  </w:style>
  <w:style w:type="character" w:styleId="a6">
    <w:name w:val="Hyperlink"/>
    <w:basedOn w:val="a0"/>
    <w:uiPriority w:val="99"/>
    <w:unhideWhenUsed/>
    <w:rsid w:val="0075075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329541">
      <w:bodyDiv w:val="1"/>
      <w:marLeft w:val="0"/>
      <w:marRight w:val="0"/>
      <w:marTop w:val="0"/>
      <w:marBottom w:val="0"/>
      <w:divBdr>
        <w:top w:val="none" w:sz="0" w:space="0" w:color="auto"/>
        <w:left w:val="none" w:sz="0" w:space="0" w:color="auto"/>
        <w:bottom w:val="none" w:sz="0" w:space="0" w:color="auto"/>
        <w:right w:val="none" w:sz="0" w:space="0" w:color="auto"/>
      </w:divBdr>
      <w:divsChild>
        <w:div w:id="1520895063">
          <w:marLeft w:val="0"/>
          <w:marRight w:val="0"/>
          <w:marTop w:val="0"/>
          <w:marBottom w:val="0"/>
          <w:divBdr>
            <w:top w:val="none" w:sz="0" w:space="0" w:color="auto"/>
            <w:left w:val="none" w:sz="0" w:space="0" w:color="auto"/>
            <w:bottom w:val="none" w:sz="0" w:space="0" w:color="auto"/>
            <w:right w:val="none" w:sz="0" w:space="0" w:color="auto"/>
          </w:divBdr>
        </w:div>
      </w:divsChild>
    </w:div>
    <w:div w:id="141122166">
      <w:bodyDiv w:val="1"/>
      <w:marLeft w:val="0"/>
      <w:marRight w:val="0"/>
      <w:marTop w:val="0"/>
      <w:marBottom w:val="0"/>
      <w:divBdr>
        <w:top w:val="none" w:sz="0" w:space="0" w:color="auto"/>
        <w:left w:val="none" w:sz="0" w:space="0" w:color="auto"/>
        <w:bottom w:val="none" w:sz="0" w:space="0" w:color="auto"/>
        <w:right w:val="none" w:sz="0" w:space="0" w:color="auto"/>
      </w:divBdr>
      <w:divsChild>
        <w:div w:id="496773597">
          <w:marLeft w:val="0"/>
          <w:marRight w:val="0"/>
          <w:marTop w:val="0"/>
          <w:marBottom w:val="0"/>
          <w:divBdr>
            <w:top w:val="none" w:sz="0" w:space="0" w:color="auto"/>
            <w:left w:val="none" w:sz="0" w:space="0" w:color="auto"/>
            <w:bottom w:val="none" w:sz="0" w:space="0" w:color="auto"/>
            <w:right w:val="none" w:sz="0" w:space="0" w:color="auto"/>
          </w:divBdr>
        </w:div>
      </w:divsChild>
    </w:div>
    <w:div w:id="167602447">
      <w:bodyDiv w:val="1"/>
      <w:marLeft w:val="0"/>
      <w:marRight w:val="0"/>
      <w:marTop w:val="0"/>
      <w:marBottom w:val="0"/>
      <w:divBdr>
        <w:top w:val="none" w:sz="0" w:space="0" w:color="auto"/>
        <w:left w:val="none" w:sz="0" w:space="0" w:color="auto"/>
        <w:bottom w:val="none" w:sz="0" w:space="0" w:color="auto"/>
        <w:right w:val="none" w:sz="0" w:space="0" w:color="auto"/>
      </w:divBdr>
      <w:divsChild>
        <w:div w:id="1708751237">
          <w:marLeft w:val="0"/>
          <w:marRight w:val="0"/>
          <w:marTop w:val="0"/>
          <w:marBottom w:val="0"/>
          <w:divBdr>
            <w:top w:val="none" w:sz="0" w:space="0" w:color="auto"/>
            <w:left w:val="none" w:sz="0" w:space="0" w:color="auto"/>
            <w:bottom w:val="none" w:sz="0" w:space="0" w:color="auto"/>
            <w:right w:val="none" w:sz="0" w:space="0" w:color="auto"/>
          </w:divBdr>
        </w:div>
      </w:divsChild>
    </w:div>
    <w:div w:id="173882083">
      <w:bodyDiv w:val="1"/>
      <w:marLeft w:val="0"/>
      <w:marRight w:val="0"/>
      <w:marTop w:val="0"/>
      <w:marBottom w:val="0"/>
      <w:divBdr>
        <w:top w:val="none" w:sz="0" w:space="0" w:color="auto"/>
        <w:left w:val="none" w:sz="0" w:space="0" w:color="auto"/>
        <w:bottom w:val="none" w:sz="0" w:space="0" w:color="auto"/>
        <w:right w:val="none" w:sz="0" w:space="0" w:color="auto"/>
      </w:divBdr>
      <w:divsChild>
        <w:div w:id="1617366417">
          <w:marLeft w:val="0"/>
          <w:marRight w:val="0"/>
          <w:marTop w:val="0"/>
          <w:marBottom w:val="0"/>
          <w:divBdr>
            <w:top w:val="none" w:sz="0" w:space="0" w:color="auto"/>
            <w:left w:val="none" w:sz="0" w:space="0" w:color="auto"/>
            <w:bottom w:val="none" w:sz="0" w:space="0" w:color="auto"/>
            <w:right w:val="none" w:sz="0" w:space="0" w:color="auto"/>
          </w:divBdr>
        </w:div>
      </w:divsChild>
    </w:div>
    <w:div w:id="237794031">
      <w:bodyDiv w:val="1"/>
      <w:marLeft w:val="0"/>
      <w:marRight w:val="0"/>
      <w:marTop w:val="0"/>
      <w:marBottom w:val="0"/>
      <w:divBdr>
        <w:top w:val="none" w:sz="0" w:space="0" w:color="auto"/>
        <w:left w:val="none" w:sz="0" w:space="0" w:color="auto"/>
        <w:bottom w:val="none" w:sz="0" w:space="0" w:color="auto"/>
        <w:right w:val="none" w:sz="0" w:space="0" w:color="auto"/>
      </w:divBdr>
      <w:divsChild>
        <w:div w:id="1816875029">
          <w:marLeft w:val="0"/>
          <w:marRight w:val="0"/>
          <w:marTop w:val="525"/>
          <w:marBottom w:val="285"/>
          <w:divBdr>
            <w:top w:val="none" w:sz="0" w:space="0" w:color="auto"/>
            <w:left w:val="none" w:sz="0" w:space="0" w:color="auto"/>
            <w:bottom w:val="none" w:sz="0" w:space="0" w:color="auto"/>
            <w:right w:val="none" w:sz="0" w:space="0" w:color="auto"/>
          </w:divBdr>
        </w:div>
        <w:div w:id="1341351146">
          <w:marLeft w:val="0"/>
          <w:marRight w:val="0"/>
          <w:marTop w:val="0"/>
          <w:marBottom w:val="0"/>
          <w:divBdr>
            <w:top w:val="none" w:sz="0" w:space="0" w:color="auto"/>
            <w:left w:val="none" w:sz="0" w:space="0" w:color="auto"/>
            <w:bottom w:val="none" w:sz="0" w:space="0" w:color="auto"/>
            <w:right w:val="none" w:sz="0" w:space="0" w:color="auto"/>
          </w:divBdr>
        </w:div>
      </w:divsChild>
    </w:div>
    <w:div w:id="381903549">
      <w:bodyDiv w:val="1"/>
      <w:marLeft w:val="0"/>
      <w:marRight w:val="0"/>
      <w:marTop w:val="0"/>
      <w:marBottom w:val="0"/>
      <w:divBdr>
        <w:top w:val="none" w:sz="0" w:space="0" w:color="auto"/>
        <w:left w:val="none" w:sz="0" w:space="0" w:color="auto"/>
        <w:bottom w:val="none" w:sz="0" w:space="0" w:color="auto"/>
        <w:right w:val="none" w:sz="0" w:space="0" w:color="auto"/>
      </w:divBdr>
    </w:div>
    <w:div w:id="527917658">
      <w:bodyDiv w:val="1"/>
      <w:marLeft w:val="0"/>
      <w:marRight w:val="0"/>
      <w:marTop w:val="0"/>
      <w:marBottom w:val="0"/>
      <w:divBdr>
        <w:top w:val="none" w:sz="0" w:space="0" w:color="auto"/>
        <w:left w:val="none" w:sz="0" w:space="0" w:color="auto"/>
        <w:bottom w:val="none" w:sz="0" w:space="0" w:color="auto"/>
        <w:right w:val="none" w:sz="0" w:space="0" w:color="auto"/>
      </w:divBdr>
    </w:div>
    <w:div w:id="751120684">
      <w:bodyDiv w:val="1"/>
      <w:marLeft w:val="0"/>
      <w:marRight w:val="0"/>
      <w:marTop w:val="0"/>
      <w:marBottom w:val="0"/>
      <w:divBdr>
        <w:top w:val="none" w:sz="0" w:space="0" w:color="auto"/>
        <w:left w:val="none" w:sz="0" w:space="0" w:color="auto"/>
        <w:bottom w:val="none" w:sz="0" w:space="0" w:color="auto"/>
        <w:right w:val="none" w:sz="0" w:space="0" w:color="auto"/>
      </w:divBdr>
      <w:divsChild>
        <w:div w:id="1020660905">
          <w:marLeft w:val="0"/>
          <w:marRight w:val="0"/>
          <w:marTop w:val="0"/>
          <w:marBottom w:val="0"/>
          <w:divBdr>
            <w:top w:val="none" w:sz="0" w:space="0" w:color="auto"/>
            <w:left w:val="none" w:sz="0" w:space="0" w:color="auto"/>
            <w:bottom w:val="none" w:sz="0" w:space="0" w:color="auto"/>
            <w:right w:val="none" w:sz="0" w:space="0" w:color="auto"/>
          </w:divBdr>
        </w:div>
      </w:divsChild>
    </w:div>
    <w:div w:id="763261825">
      <w:bodyDiv w:val="1"/>
      <w:marLeft w:val="0"/>
      <w:marRight w:val="0"/>
      <w:marTop w:val="0"/>
      <w:marBottom w:val="0"/>
      <w:divBdr>
        <w:top w:val="none" w:sz="0" w:space="0" w:color="auto"/>
        <w:left w:val="none" w:sz="0" w:space="0" w:color="auto"/>
        <w:bottom w:val="none" w:sz="0" w:space="0" w:color="auto"/>
        <w:right w:val="none" w:sz="0" w:space="0" w:color="auto"/>
      </w:divBdr>
    </w:div>
    <w:div w:id="771978958">
      <w:bodyDiv w:val="1"/>
      <w:marLeft w:val="0"/>
      <w:marRight w:val="0"/>
      <w:marTop w:val="0"/>
      <w:marBottom w:val="0"/>
      <w:divBdr>
        <w:top w:val="none" w:sz="0" w:space="0" w:color="auto"/>
        <w:left w:val="none" w:sz="0" w:space="0" w:color="auto"/>
        <w:bottom w:val="none" w:sz="0" w:space="0" w:color="auto"/>
        <w:right w:val="none" w:sz="0" w:space="0" w:color="auto"/>
      </w:divBdr>
    </w:div>
    <w:div w:id="984167913">
      <w:bodyDiv w:val="1"/>
      <w:marLeft w:val="0"/>
      <w:marRight w:val="0"/>
      <w:marTop w:val="0"/>
      <w:marBottom w:val="0"/>
      <w:divBdr>
        <w:top w:val="none" w:sz="0" w:space="0" w:color="auto"/>
        <w:left w:val="none" w:sz="0" w:space="0" w:color="auto"/>
        <w:bottom w:val="none" w:sz="0" w:space="0" w:color="auto"/>
        <w:right w:val="none" w:sz="0" w:space="0" w:color="auto"/>
      </w:divBdr>
    </w:div>
    <w:div w:id="1104810911">
      <w:bodyDiv w:val="1"/>
      <w:marLeft w:val="0"/>
      <w:marRight w:val="0"/>
      <w:marTop w:val="0"/>
      <w:marBottom w:val="0"/>
      <w:divBdr>
        <w:top w:val="none" w:sz="0" w:space="0" w:color="auto"/>
        <w:left w:val="none" w:sz="0" w:space="0" w:color="auto"/>
        <w:bottom w:val="none" w:sz="0" w:space="0" w:color="auto"/>
        <w:right w:val="none" w:sz="0" w:space="0" w:color="auto"/>
      </w:divBdr>
    </w:div>
    <w:div w:id="1188325168">
      <w:bodyDiv w:val="1"/>
      <w:marLeft w:val="0"/>
      <w:marRight w:val="0"/>
      <w:marTop w:val="0"/>
      <w:marBottom w:val="0"/>
      <w:divBdr>
        <w:top w:val="none" w:sz="0" w:space="0" w:color="auto"/>
        <w:left w:val="none" w:sz="0" w:space="0" w:color="auto"/>
        <w:bottom w:val="none" w:sz="0" w:space="0" w:color="auto"/>
        <w:right w:val="none" w:sz="0" w:space="0" w:color="auto"/>
      </w:divBdr>
      <w:divsChild>
        <w:div w:id="472867078">
          <w:marLeft w:val="0"/>
          <w:marRight w:val="0"/>
          <w:marTop w:val="0"/>
          <w:marBottom w:val="0"/>
          <w:divBdr>
            <w:top w:val="none" w:sz="0" w:space="0" w:color="auto"/>
            <w:left w:val="none" w:sz="0" w:space="0" w:color="auto"/>
            <w:bottom w:val="none" w:sz="0" w:space="0" w:color="auto"/>
            <w:right w:val="none" w:sz="0" w:space="0" w:color="auto"/>
          </w:divBdr>
        </w:div>
      </w:divsChild>
    </w:div>
    <w:div w:id="1247180606">
      <w:bodyDiv w:val="1"/>
      <w:marLeft w:val="0"/>
      <w:marRight w:val="0"/>
      <w:marTop w:val="0"/>
      <w:marBottom w:val="0"/>
      <w:divBdr>
        <w:top w:val="none" w:sz="0" w:space="0" w:color="auto"/>
        <w:left w:val="none" w:sz="0" w:space="0" w:color="auto"/>
        <w:bottom w:val="none" w:sz="0" w:space="0" w:color="auto"/>
        <w:right w:val="none" w:sz="0" w:space="0" w:color="auto"/>
      </w:divBdr>
      <w:divsChild>
        <w:div w:id="2073573792">
          <w:marLeft w:val="0"/>
          <w:marRight w:val="0"/>
          <w:marTop w:val="0"/>
          <w:marBottom w:val="0"/>
          <w:divBdr>
            <w:top w:val="none" w:sz="0" w:space="0" w:color="auto"/>
            <w:left w:val="none" w:sz="0" w:space="0" w:color="auto"/>
            <w:bottom w:val="none" w:sz="0" w:space="0" w:color="auto"/>
            <w:right w:val="none" w:sz="0" w:space="0" w:color="auto"/>
          </w:divBdr>
        </w:div>
      </w:divsChild>
    </w:div>
    <w:div w:id="1312294952">
      <w:bodyDiv w:val="1"/>
      <w:marLeft w:val="0"/>
      <w:marRight w:val="0"/>
      <w:marTop w:val="0"/>
      <w:marBottom w:val="0"/>
      <w:divBdr>
        <w:top w:val="none" w:sz="0" w:space="0" w:color="auto"/>
        <w:left w:val="none" w:sz="0" w:space="0" w:color="auto"/>
        <w:bottom w:val="none" w:sz="0" w:space="0" w:color="auto"/>
        <w:right w:val="none" w:sz="0" w:space="0" w:color="auto"/>
      </w:divBdr>
      <w:divsChild>
        <w:div w:id="1652294051">
          <w:marLeft w:val="0"/>
          <w:marRight w:val="0"/>
          <w:marTop w:val="0"/>
          <w:marBottom w:val="0"/>
          <w:divBdr>
            <w:top w:val="none" w:sz="0" w:space="0" w:color="auto"/>
            <w:left w:val="none" w:sz="0" w:space="0" w:color="auto"/>
            <w:bottom w:val="none" w:sz="0" w:space="0" w:color="auto"/>
            <w:right w:val="none" w:sz="0" w:space="0" w:color="auto"/>
          </w:divBdr>
        </w:div>
      </w:divsChild>
    </w:div>
    <w:div w:id="1720668952">
      <w:bodyDiv w:val="1"/>
      <w:marLeft w:val="0"/>
      <w:marRight w:val="0"/>
      <w:marTop w:val="0"/>
      <w:marBottom w:val="0"/>
      <w:divBdr>
        <w:top w:val="none" w:sz="0" w:space="0" w:color="auto"/>
        <w:left w:val="none" w:sz="0" w:space="0" w:color="auto"/>
        <w:bottom w:val="none" w:sz="0" w:space="0" w:color="auto"/>
        <w:right w:val="none" w:sz="0" w:space="0" w:color="auto"/>
      </w:divBdr>
    </w:div>
    <w:div w:id="1871990182">
      <w:bodyDiv w:val="1"/>
      <w:marLeft w:val="0"/>
      <w:marRight w:val="0"/>
      <w:marTop w:val="0"/>
      <w:marBottom w:val="0"/>
      <w:divBdr>
        <w:top w:val="none" w:sz="0" w:space="0" w:color="auto"/>
        <w:left w:val="none" w:sz="0" w:space="0" w:color="auto"/>
        <w:bottom w:val="none" w:sz="0" w:space="0" w:color="auto"/>
        <w:right w:val="none" w:sz="0" w:space="0" w:color="auto"/>
      </w:divBdr>
      <w:divsChild>
        <w:div w:id="1725104354">
          <w:marLeft w:val="0"/>
          <w:marRight w:val="0"/>
          <w:marTop w:val="0"/>
          <w:marBottom w:val="0"/>
          <w:divBdr>
            <w:top w:val="none" w:sz="0" w:space="0" w:color="auto"/>
            <w:left w:val="none" w:sz="0" w:space="0" w:color="auto"/>
            <w:bottom w:val="none" w:sz="0" w:space="0" w:color="auto"/>
            <w:right w:val="none" w:sz="0" w:space="0" w:color="auto"/>
          </w:divBdr>
        </w:div>
      </w:divsChild>
    </w:div>
    <w:div w:id="1876503158">
      <w:bodyDiv w:val="1"/>
      <w:marLeft w:val="0"/>
      <w:marRight w:val="0"/>
      <w:marTop w:val="0"/>
      <w:marBottom w:val="0"/>
      <w:divBdr>
        <w:top w:val="none" w:sz="0" w:space="0" w:color="auto"/>
        <w:left w:val="none" w:sz="0" w:space="0" w:color="auto"/>
        <w:bottom w:val="none" w:sz="0" w:space="0" w:color="auto"/>
        <w:right w:val="none" w:sz="0" w:space="0" w:color="auto"/>
      </w:divBdr>
    </w:div>
    <w:div w:id="1890529159">
      <w:bodyDiv w:val="1"/>
      <w:marLeft w:val="0"/>
      <w:marRight w:val="0"/>
      <w:marTop w:val="0"/>
      <w:marBottom w:val="0"/>
      <w:divBdr>
        <w:top w:val="none" w:sz="0" w:space="0" w:color="auto"/>
        <w:left w:val="none" w:sz="0" w:space="0" w:color="auto"/>
        <w:bottom w:val="none" w:sz="0" w:space="0" w:color="auto"/>
        <w:right w:val="none" w:sz="0" w:space="0" w:color="auto"/>
      </w:divBdr>
      <w:divsChild>
        <w:div w:id="1098452485">
          <w:marLeft w:val="0"/>
          <w:marRight w:val="0"/>
          <w:marTop w:val="0"/>
          <w:marBottom w:val="0"/>
          <w:divBdr>
            <w:top w:val="none" w:sz="0" w:space="0" w:color="auto"/>
            <w:left w:val="none" w:sz="0" w:space="0" w:color="auto"/>
            <w:bottom w:val="none" w:sz="0" w:space="0" w:color="auto"/>
            <w:right w:val="none" w:sz="0" w:space="0" w:color="auto"/>
          </w:divBdr>
        </w:div>
      </w:divsChild>
    </w:div>
    <w:div w:id="2023125538">
      <w:bodyDiv w:val="1"/>
      <w:marLeft w:val="0"/>
      <w:marRight w:val="0"/>
      <w:marTop w:val="0"/>
      <w:marBottom w:val="0"/>
      <w:divBdr>
        <w:top w:val="none" w:sz="0" w:space="0" w:color="auto"/>
        <w:left w:val="none" w:sz="0" w:space="0" w:color="auto"/>
        <w:bottom w:val="none" w:sz="0" w:space="0" w:color="auto"/>
        <w:right w:val="none" w:sz="0" w:space="0" w:color="auto"/>
      </w:divBdr>
      <w:divsChild>
        <w:div w:id="1035041607">
          <w:marLeft w:val="0"/>
          <w:marRight w:val="0"/>
          <w:marTop w:val="0"/>
          <w:marBottom w:val="0"/>
          <w:divBdr>
            <w:top w:val="none" w:sz="0" w:space="0" w:color="auto"/>
            <w:left w:val="none" w:sz="0" w:space="0" w:color="auto"/>
            <w:bottom w:val="none" w:sz="0" w:space="0" w:color="auto"/>
            <w:right w:val="none" w:sz="0" w:space="0" w:color="auto"/>
          </w:divBdr>
        </w:div>
      </w:divsChild>
    </w:div>
    <w:div w:id="20915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2FEE-3837-47C0-8E60-323B002D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35</Pages>
  <Words>4596</Words>
  <Characters>26200</Characters>
  <Application>Microsoft Office Word</Application>
  <DocSecurity>0</DocSecurity>
  <Lines>218</Lines>
  <Paragraphs>61</Paragraphs>
  <ScaleCrop>false</ScaleCrop>
  <Company/>
  <LinksUpToDate>false</LinksUpToDate>
  <CharactersWithSpaces>30735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156</cp:revision>
  <cp:lastPrinted>2019-06-21T01:22:00Z</cp:lastPrinted>
  <dcterms:created xsi:type="dcterms:W3CDTF">2019-06-20T02:18:00Z</dcterms:created>
  <dcterms:modified xsi:type="dcterms:W3CDTF">2019-06-24T10:05:00Z</dcterms:modified>
</cp:coreProperties>
</file>