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宋体" w:hAnsi="宋体" w:eastAsia="宋体" w:cs="Times New Roman"/>
          <w:kern w:val="20"/>
          <w:sz w:val="72"/>
          <w:szCs w:val="72"/>
        </w:rPr>
      </w:pPr>
      <w:r>
        <w:rPr>
          <w:rFonts w:hint="eastAsia" w:ascii="宋体" w:hAnsi="宋体" w:eastAsia="宋体" w:cs="Times New Roman"/>
          <w:color w:val="FF0000"/>
          <w:kern w:val="20"/>
          <w:sz w:val="72"/>
          <w:szCs w:val="72"/>
        </w:rPr>
        <w:t>发展规划参考</w:t>
      </w:r>
    </w:p>
    <w:p>
      <w:pPr>
        <w:spacing w:line="0" w:lineRule="atLeast"/>
        <w:rPr>
          <w:rFonts w:ascii="宋体" w:hAnsi="宋体" w:eastAsia="宋体" w:cs="Times New Roman"/>
          <w:kern w:val="20"/>
          <w:sz w:val="28"/>
          <w:szCs w:val="28"/>
        </w:rPr>
      </w:pPr>
      <w:r>
        <w:rPr>
          <w:rFonts w:hint="eastAsia" w:ascii="宋体" w:hAnsi="宋体" w:eastAsia="宋体" w:cs="Times New Roman"/>
          <w:kern w:val="20"/>
          <w:sz w:val="28"/>
          <w:szCs w:val="28"/>
        </w:rPr>
        <w:t>[2020] 第2期（总第49期）      郑州师范学院发展规划处  主编</w:t>
      </w:r>
    </w:p>
    <w:p>
      <w:pPr>
        <w:spacing w:line="0" w:lineRule="atLeast"/>
        <w:ind w:left="-1" w:leftChars="-1" w:right="-334" w:rightChars="-159" w:hanging="1"/>
        <w:rPr>
          <w:rFonts w:ascii="仿宋_GB2312" w:hAnsi="Times New Roman" w:eastAsia="仿宋_GB2312" w:cs="Times New Roman"/>
          <w:b/>
          <w:color w:val="FF0000"/>
          <w:kern w:val="20"/>
          <w:sz w:val="28"/>
          <w:szCs w:val="28"/>
          <w:u w:val="thick" w:color="FF0000"/>
        </w:rPr>
      </w:pPr>
      <w:r>
        <w:rPr>
          <w:rFonts w:hint="eastAsia" w:ascii="仿宋_GB2312" w:hAnsi="Times New Roman" w:eastAsia="仿宋_GB2312" w:cs="Times New Roman"/>
          <w:b/>
          <w:color w:val="FF0000"/>
          <w:kern w:val="20"/>
          <w:sz w:val="28"/>
          <w:szCs w:val="28"/>
          <w:u w:val="thick" w:color="FF0000"/>
        </w:rPr>
        <w:t xml:space="preserve">                                                           </w:t>
      </w:r>
    </w:p>
    <w:p>
      <w:pPr>
        <w:spacing w:line="480" w:lineRule="auto"/>
        <w:jc w:val="center"/>
        <w:rPr>
          <w:rFonts w:ascii="宋体" w:hAnsi="宋体" w:eastAsia="宋体" w:cs="Times New Roman"/>
          <w:kern w:val="20"/>
          <w:sz w:val="36"/>
          <w:szCs w:val="36"/>
        </w:rPr>
      </w:pPr>
      <w:r>
        <w:rPr>
          <w:rFonts w:hint="eastAsia" w:ascii="宋体" w:hAnsi="宋体" w:eastAsia="宋体" w:cs="Times New Roman"/>
          <w:kern w:val="20"/>
          <w:sz w:val="36"/>
          <w:szCs w:val="36"/>
        </w:rPr>
        <w:t>目  录</w:t>
      </w:r>
    </w:p>
    <w:sdt>
      <w:sdtPr>
        <w:rPr>
          <w:rFonts w:asciiTheme="minorHAnsi" w:hAnsiTheme="minorHAnsi" w:eastAsiaTheme="minorEastAsia" w:cstheme="minorBidi"/>
          <w:color w:val="auto"/>
          <w:kern w:val="2"/>
          <w:sz w:val="21"/>
          <w:szCs w:val="21"/>
          <w:lang w:val="zh-CN"/>
        </w:rPr>
        <w:id w:val="1026748551"/>
        <w:docPartObj>
          <w:docPartGallery w:val="Table of Contents"/>
          <w:docPartUnique/>
        </w:docPartObj>
      </w:sdtPr>
      <w:sdtEndPr>
        <w:rPr>
          <w:rFonts w:asciiTheme="minorHAnsi" w:hAnsiTheme="minorHAnsi" w:eastAsiaTheme="minorEastAsia" w:cstheme="minorBidi"/>
          <w:b/>
          <w:bCs/>
          <w:color w:val="auto"/>
          <w:kern w:val="2"/>
          <w:sz w:val="21"/>
          <w:szCs w:val="21"/>
          <w:lang w:val="zh-CN"/>
        </w:rPr>
      </w:sdtEndPr>
      <w:sdtContent>
        <w:p>
          <w:pPr>
            <w:pStyle w:val="19"/>
            <w:spacing w:line="240" w:lineRule="auto"/>
            <w:rPr>
              <w:rStyle w:val="12"/>
              <w:rFonts w:ascii="宋体" w:hAnsi="宋体" w:eastAsia="宋体" w:cs="Times New Roman"/>
              <w:b/>
              <w:color w:val="auto"/>
              <w:kern w:val="2"/>
              <w:sz w:val="21"/>
              <w:szCs w:val="21"/>
              <w:u w:val="none"/>
            </w:rPr>
          </w:pPr>
          <w:r>
            <w:rPr>
              <w:rStyle w:val="12"/>
              <w:rFonts w:hint="eastAsia" w:ascii="宋体" w:hAnsi="宋体" w:eastAsia="宋体" w:cs="Times New Roman"/>
              <w:b/>
              <w:color w:val="auto"/>
              <w:kern w:val="2"/>
              <w:sz w:val="21"/>
              <w:szCs w:val="21"/>
              <w:u w:val="none"/>
            </w:rPr>
            <w:t>高教信息</w:t>
          </w:r>
        </w:p>
        <w:p>
          <w:pPr>
            <w:pStyle w:val="9"/>
            <w:tabs>
              <w:tab w:val="right" w:leader="dot" w:pos="8296"/>
            </w:tabs>
            <w:spacing w:line="240" w:lineRule="auto"/>
            <w:ind w:leftChars="0"/>
            <w:rPr>
              <w:rStyle w:val="12"/>
              <w:rFonts w:ascii="宋体" w:hAnsi="宋体" w:eastAsia="宋体" w:cs="Times New Roman"/>
              <w:color w:val="auto"/>
              <w:sz w:val="21"/>
              <w:szCs w:val="21"/>
              <w:u w:val="none"/>
            </w:rPr>
          </w:pPr>
          <w:r>
            <w:rPr>
              <w:rFonts w:ascii="宋体" w:hAnsi="宋体" w:eastAsia="宋体" w:cs="Times New Roman"/>
              <w:sz w:val="21"/>
              <w:szCs w:val="21"/>
            </w:rPr>
            <w:fldChar w:fldCharType="begin"/>
          </w:r>
          <w:r>
            <w:rPr>
              <w:sz w:val="21"/>
              <w:szCs w:val="21"/>
            </w:rPr>
            <w:instrText xml:space="preserve"> TOC \o "1-3" \h \z \u </w:instrText>
          </w:r>
          <w:r>
            <w:rPr>
              <w:rFonts w:ascii="宋体" w:hAnsi="宋体" w:eastAsia="宋体" w:cs="Times New Roman"/>
              <w:sz w:val="21"/>
              <w:szCs w:val="21"/>
            </w:rPr>
            <w:fldChar w:fldCharType="separate"/>
          </w:r>
          <w:r>
            <w:rPr>
              <w:sz w:val="21"/>
              <w:szCs w:val="21"/>
            </w:rPr>
            <w:fldChar w:fldCharType="begin"/>
          </w:r>
          <w:r>
            <w:rPr>
              <w:sz w:val="21"/>
              <w:szCs w:val="21"/>
            </w:rPr>
            <w:instrText xml:space="preserve"> HYPERLINK \l "_Toc38614660" </w:instrText>
          </w:r>
          <w:r>
            <w:rPr>
              <w:sz w:val="21"/>
              <w:szCs w:val="21"/>
            </w:rPr>
            <w:fldChar w:fldCharType="separate"/>
          </w:r>
          <w:r>
            <w:rPr>
              <w:rStyle w:val="12"/>
              <w:rFonts w:hint="eastAsia" w:ascii="宋体" w:hAnsi="宋体" w:eastAsia="宋体" w:cs="Times New Roman"/>
              <w:color w:val="auto"/>
              <w:sz w:val="21"/>
              <w:szCs w:val="21"/>
              <w:u w:val="none"/>
            </w:rPr>
            <w:t>教育部将在部分重点领域建设优质教学资源库</w:t>
          </w:r>
          <w:r>
            <w:rPr>
              <w:rStyle w:val="12"/>
              <w:rFonts w:hint="eastAsia" w:ascii="宋体" w:hAnsi="宋体" w:eastAsia="宋体" w:cs="Times New Roman"/>
              <w:color w:val="auto"/>
              <w:sz w:val="21"/>
              <w:szCs w:val="21"/>
              <w:u w:val="none"/>
            </w:rPr>
            <w:tab/>
          </w:r>
          <w:r>
            <w:rPr>
              <w:rStyle w:val="12"/>
              <w:rFonts w:hint="eastAsia" w:ascii="宋体" w:hAnsi="宋体" w:eastAsia="宋体" w:cs="Times New Roman"/>
              <w:color w:val="auto"/>
              <w:sz w:val="21"/>
              <w:szCs w:val="21"/>
              <w:u w:val="none"/>
            </w:rPr>
            <w:fldChar w:fldCharType="begin"/>
          </w:r>
          <w:r>
            <w:rPr>
              <w:rStyle w:val="12"/>
              <w:rFonts w:hint="eastAsia" w:ascii="宋体" w:hAnsi="宋体" w:eastAsia="宋体" w:cs="Times New Roman"/>
              <w:color w:val="auto"/>
              <w:sz w:val="21"/>
              <w:szCs w:val="21"/>
              <w:u w:val="none"/>
            </w:rPr>
            <w:instrText xml:space="preserve"> </w:instrText>
          </w:r>
          <w:r>
            <w:rPr>
              <w:rStyle w:val="12"/>
              <w:rFonts w:ascii="宋体" w:hAnsi="宋体" w:eastAsia="宋体" w:cs="Times New Roman"/>
              <w:color w:val="auto"/>
              <w:sz w:val="21"/>
              <w:szCs w:val="21"/>
              <w:u w:val="none"/>
            </w:rPr>
            <w:instrText xml:space="preserve">PAGEREF _Toc38614660 \h</w:instrText>
          </w:r>
          <w:r>
            <w:rPr>
              <w:rStyle w:val="12"/>
              <w:rFonts w:hint="eastAsia" w:ascii="宋体" w:hAnsi="宋体" w:eastAsia="宋体" w:cs="Times New Roman"/>
              <w:color w:val="auto"/>
              <w:sz w:val="21"/>
              <w:szCs w:val="21"/>
              <w:u w:val="none"/>
            </w:rPr>
            <w:instrText xml:space="preserve"> </w:instrText>
          </w:r>
          <w:r>
            <w:rPr>
              <w:rStyle w:val="12"/>
              <w:rFonts w:hint="eastAsia" w:ascii="宋体" w:hAnsi="宋体" w:eastAsia="宋体" w:cs="Times New Roman"/>
              <w:color w:val="auto"/>
              <w:sz w:val="21"/>
              <w:szCs w:val="21"/>
              <w:u w:val="none"/>
            </w:rPr>
            <w:fldChar w:fldCharType="separate"/>
          </w:r>
          <w:r>
            <w:rPr>
              <w:rStyle w:val="12"/>
              <w:rFonts w:ascii="宋体" w:hAnsi="宋体" w:eastAsia="宋体" w:cs="Times New Roman"/>
              <w:color w:val="auto"/>
              <w:sz w:val="21"/>
              <w:szCs w:val="21"/>
              <w:u w:val="none"/>
            </w:rPr>
            <w:t>1</w:t>
          </w:r>
          <w:r>
            <w:rPr>
              <w:rStyle w:val="12"/>
              <w:rFonts w:hint="eastAsia" w:ascii="宋体" w:hAnsi="宋体" w:eastAsia="宋体" w:cs="Times New Roman"/>
              <w:color w:val="auto"/>
              <w:sz w:val="21"/>
              <w:szCs w:val="21"/>
              <w:u w:val="none"/>
            </w:rPr>
            <w:fldChar w:fldCharType="end"/>
          </w:r>
          <w:r>
            <w:rPr>
              <w:rStyle w:val="12"/>
              <w:rFonts w:hint="eastAsia" w:ascii="宋体" w:hAnsi="宋体" w:eastAsia="宋体" w:cs="Times New Roman"/>
              <w:color w:val="auto"/>
              <w:sz w:val="21"/>
              <w:szCs w:val="21"/>
              <w:u w:val="none"/>
            </w:rPr>
            <w:fldChar w:fldCharType="end"/>
          </w:r>
        </w:p>
        <w:p>
          <w:pPr>
            <w:pStyle w:val="9"/>
            <w:tabs>
              <w:tab w:val="right" w:leader="dot" w:pos="8296"/>
            </w:tabs>
            <w:spacing w:line="240" w:lineRule="auto"/>
            <w:ind w:left="0" w:leftChars="0" w:firstLine="420" w:firstLineChars="200"/>
            <w:rPr>
              <w:rStyle w:val="12"/>
              <w:rFonts w:ascii="宋体" w:hAnsi="宋体" w:eastAsia="宋体" w:cs="Times New Roman"/>
              <w:color w:val="auto"/>
              <w:sz w:val="21"/>
              <w:szCs w:val="21"/>
              <w:u w:val="none"/>
            </w:rPr>
          </w:pPr>
          <w:r>
            <w:rPr>
              <w:sz w:val="21"/>
              <w:szCs w:val="21"/>
            </w:rPr>
            <w:fldChar w:fldCharType="begin"/>
          </w:r>
          <w:r>
            <w:rPr>
              <w:sz w:val="21"/>
              <w:szCs w:val="21"/>
            </w:rPr>
            <w:instrText xml:space="preserve"> HYPERLINK \l "_Toc38614661" </w:instrText>
          </w:r>
          <w:r>
            <w:rPr>
              <w:sz w:val="21"/>
              <w:szCs w:val="21"/>
            </w:rPr>
            <w:fldChar w:fldCharType="separate"/>
          </w:r>
          <w:r>
            <w:rPr>
              <w:rStyle w:val="12"/>
              <w:rFonts w:hint="eastAsia" w:ascii="宋体" w:hAnsi="宋体" w:eastAsia="宋体" w:cs="Times New Roman"/>
              <w:color w:val="auto"/>
              <w:sz w:val="21"/>
              <w:szCs w:val="21"/>
              <w:u w:val="none"/>
            </w:rPr>
            <w:t>高校银龄教师支援西部计划启动</w:t>
          </w:r>
          <w:r>
            <w:rPr>
              <w:rStyle w:val="12"/>
              <w:rFonts w:hint="eastAsia" w:ascii="宋体" w:hAnsi="宋体" w:eastAsia="宋体" w:cs="Times New Roman"/>
              <w:color w:val="auto"/>
              <w:sz w:val="21"/>
              <w:szCs w:val="21"/>
              <w:u w:val="none"/>
            </w:rPr>
            <w:tab/>
          </w:r>
          <w:r>
            <w:rPr>
              <w:rStyle w:val="12"/>
              <w:rFonts w:hint="eastAsia" w:ascii="宋体" w:hAnsi="宋体" w:eastAsia="宋体" w:cs="Times New Roman"/>
              <w:color w:val="auto"/>
              <w:sz w:val="21"/>
              <w:szCs w:val="21"/>
              <w:u w:val="none"/>
            </w:rPr>
            <w:fldChar w:fldCharType="begin"/>
          </w:r>
          <w:r>
            <w:rPr>
              <w:rStyle w:val="12"/>
              <w:rFonts w:hint="eastAsia" w:ascii="宋体" w:hAnsi="宋体" w:eastAsia="宋体" w:cs="Times New Roman"/>
              <w:color w:val="auto"/>
              <w:sz w:val="21"/>
              <w:szCs w:val="21"/>
              <w:u w:val="none"/>
            </w:rPr>
            <w:instrText xml:space="preserve"> </w:instrText>
          </w:r>
          <w:r>
            <w:rPr>
              <w:rStyle w:val="12"/>
              <w:rFonts w:ascii="宋体" w:hAnsi="宋体" w:eastAsia="宋体" w:cs="Times New Roman"/>
              <w:color w:val="auto"/>
              <w:sz w:val="21"/>
              <w:szCs w:val="21"/>
              <w:u w:val="none"/>
            </w:rPr>
            <w:instrText xml:space="preserve">PAGEREF _Toc38614661 \h</w:instrText>
          </w:r>
          <w:r>
            <w:rPr>
              <w:rStyle w:val="12"/>
              <w:rFonts w:hint="eastAsia" w:ascii="宋体" w:hAnsi="宋体" w:eastAsia="宋体" w:cs="Times New Roman"/>
              <w:color w:val="auto"/>
              <w:sz w:val="21"/>
              <w:szCs w:val="21"/>
              <w:u w:val="none"/>
            </w:rPr>
            <w:instrText xml:space="preserve"> </w:instrText>
          </w:r>
          <w:r>
            <w:rPr>
              <w:rStyle w:val="12"/>
              <w:rFonts w:hint="eastAsia" w:ascii="宋体" w:hAnsi="宋体" w:eastAsia="宋体" w:cs="Times New Roman"/>
              <w:color w:val="auto"/>
              <w:sz w:val="21"/>
              <w:szCs w:val="21"/>
              <w:u w:val="none"/>
            </w:rPr>
            <w:fldChar w:fldCharType="separate"/>
          </w:r>
          <w:r>
            <w:rPr>
              <w:rStyle w:val="12"/>
              <w:rFonts w:ascii="宋体" w:hAnsi="宋体" w:eastAsia="宋体" w:cs="Times New Roman"/>
              <w:color w:val="auto"/>
              <w:sz w:val="21"/>
              <w:szCs w:val="21"/>
              <w:u w:val="none"/>
            </w:rPr>
            <w:t>1</w:t>
          </w:r>
          <w:r>
            <w:rPr>
              <w:rStyle w:val="12"/>
              <w:rFonts w:hint="eastAsia" w:ascii="宋体" w:hAnsi="宋体" w:eastAsia="宋体" w:cs="Times New Roman"/>
              <w:color w:val="auto"/>
              <w:sz w:val="21"/>
              <w:szCs w:val="21"/>
              <w:u w:val="none"/>
            </w:rPr>
            <w:fldChar w:fldCharType="end"/>
          </w:r>
          <w:r>
            <w:rPr>
              <w:rStyle w:val="12"/>
              <w:rFonts w:hint="eastAsia" w:ascii="宋体" w:hAnsi="宋体" w:eastAsia="宋体" w:cs="Times New Roman"/>
              <w:color w:val="auto"/>
              <w:sz w:val="21"/>
              <w:szCs w:val="21"/>
              <w:u w:val="none"/>
            </w:rPr>
            <w:fldChar w:fldCharType="end"/>
          </w:r>
        </w:p>
        <w:p>
          <w:pPr>
            <w:pStyle w:val="9"/>
            <w:tabs>
              <w:tab w:val="right" w:leader="dot" w:pos="8296"/>
            </w:tabs>
            <w:spacing w:line="240" w:lineRule="auto"/>
            <w:ind w:left="0" w:leftChars="0" w:firstLine="420" w:firstLineChars="200"/>
            <w:rPr>
              <w:rStyle w:val="12"/>
              <w:rFonts w:ascii="宋体" w:hAnsi="宋体" w:eastAsia="宋体" w:cs="Times New Roman"/>
              <w:color w:val="auto"/>
              <w:sz w:val="21"/>
              <w:szCs w:val="21"/>
              <w:u w:val="none"/>
            </w:rPr>
          </w:pPr>
          <w:r>
            <w:rPr>
              <w:sz w:val="21"/>
              <w:szCs w:val="21"/>
            </w:rPr>
            <w:fldChar w:fldCharType="begin"/>
          </w:r>
          <w:r>
            <w:rPr>
              <w:sz w:val="21"/>
              <w:szCs w:val="21"/>
            </w:rPr>
            <w:instrText xml:space="preserve"> HYPERLINK \l "_Toc38614662" </w:instrText>
          </w:r>
          <w:r>
            <w:rPr>
              <w:sz w:val="21"/>
              <w:szCs w:val="21"/>
            </w:rPr>
            <w:fldChar w:fldCharType="separate"/>
          </w:r>
          <w:r>
            <w:rPr>
              <w:rStyle w:val="12"/>
              <w:rFonts w:hint="eastAsia" w:ascii="宋体" w:hAnsi="宋体" w:eastAsia="宋体" w:cs="Times New Roman"/>
              <w:color w:val="auto"/>
              <w:sz w:val="21"/>
              <w:szCs w:val="21"/>
              <w:u w:val="none"/>
            </w:rPr>
            <w:t>全国高校“一帮一”帮扶湖北高校毕业生就业创业</w:t>
          </w:r>
          <w:r>
            <w:rPr>
              <w:rStyle w:val="12"/>
              <w:rFonts w:hint="eastAsia" w:ascii="宋体" w:hAnsi="宋体" w:eastAsia="宋体" w:cs="Times New Roman"/>
              <w:color w:val="auto"/>
              <w:sz w:val="21"/>
              <w:szCs w:val="21"/>
              <w:u w:val="none"/>
            </w:rPr>
            <w:tab/>
          </w:r>
          <w:r>
            <w:rPr>
              <w:rStyle w:val="12"/>
              <w:rFonts w:hint="eastAsia" w:ascii="宋体" w:hAnsi="宋体" w:eastAsia="宋体" w:cs="Times New Roman"/>
              <w:color w:val="auto"/>
              <w:sz w:val="21"/>
              <w:szCs w:val="21"/>
              <w:u w:val="none"/>
            </w:rPr>
            <w:fldChar w:fldCharType="begin"/>
          </w:r>
          <w:r>
            <w:rPr>
              <w:rStyle w:val="12"/>
              <w:rFonts w:hint="eastAsia" w:ascii="宋体" w:hAnsi="宋体" w:eastAsia="宋体" w:cs="Times New Roman"/>
              <w:color w:val="auto"/>
              <w:sz w:val="21"/>
              <w:szCs w:val="21"/>
              <w:u w:val="none"/>
            </w:rPr>
            <w:instrText xml:space="preserve"> </w:instrText>
          </w:r>
          <w:r>
            <w:rPr>
              <w:rStyle w:val="12"/>
              <w:rFonts w:ascii="宋体" w:hAnsi="宋体" w:eastAsia="宋体" w:cs="Times New Roman"/>
              <w:color w:val="auto"/>
              <w:sz w:val="21"/>
              <w:szCs w:val="21"/>
              <w:u w:val="none"/>
            </w:rPr>
            <w:instrText xml:space="preserve">PAGEREF _Toc38614662 \h</w:instrText>
          </w:r>
          <w:r>
            <w:rPr>
              <w:rStyle w:val="12"/>
              <w:rFonts w:hint="eastAsia" w:ascii="宋体" w:hAnsi="宋体" w:eastAsia="宋体" w:cs="Times New Roman"/>
              <w:color w:val="auto"/>
              <w:sz w:val="21"/>
              <w:szCs w:val="21"/>
              <w:u w:val="none"/>
            </w:rPr>
            <w:instrText xml:space="preserve"> </w:instrText>
          </w:r>
          <w:r>
            <w:rPr>
              <w:rStyle w:val="12"/>
              <w:rFonts w:hint="eastAsia" w:ascii="宋体" w:hAnsi="宋体" w:eastAsia="宋体" w:cs="Times New Roman"/>
              <w:color w:val="auto"/>
              <w:sz w:val="21"/>
              <w:szCs w:val="21"/>
              <w:u w:val="none"/>
            </w:rPr>
            <w:fldChar w:fldCharType="separate"/>
          </w:r>
          <w:r>
            <w:rPr>
              <w:rStyle w:val="12"/>
              <w:rFonts w:ascii="宋体" w:hAnsi="宋体" w:eastAsia="宋体" w:cs="Times New Roman"/>
              <w:color w:val="auto"/>
              <w:sz w:val="21"/>
              <w:szCs w:val="21"/>
              <w:u w:val="none"/>
            </w:rPr>
            <w:t>2</w:t>
          </w:r>
          <w:r>
            <w:rPr>
              <w:rStyle w:val="12"/>
              <w:rFonts w:hint="eastAsia" w:ascii="宋体" w:hAnsi="宋体" w:eastAsia="宋体" w:cs="Times New Roman"/>
              <w:color w:val="auto"/>
              <w:sz w:val="21"/>
              <w:szCs w:val="21"/>
              <w:u w:val="none"/>
            </w:rPr>
            <w:fldChar w:fldCharType="end"/>
          </w:r>
          <w:r>
            <w:rPr>
              <w:rStyle w:val="12"/>
              <w:rFonts w:hint="eastAsia" w:ascii="宋体" w:hAnsi="宋体" w:eastAsia="宋体" w:cs="Times New Roman"/>
              <w:color w:val="auto"/>
              <w:sz w:val="21"/>
              <w:szCs w:val="21"/>
              <w:u w:val="none"/>
            </w:rPr>
            <w:fldChar w:fldCharType="end"/>
          </w:r>
        </w:p>
        <w:p>
          <w:pPr>
            <w:pStyle w:val="9"/>
            <w:tabs>
              <w:tab w:val="right" w:leader="dot" w:pos="8296"/>
            </w:tabs>
            <w:spacing w:line="240" w:lineRule="auto"/>
            <w:ind w:left="0" w:leftChars="0" w:firstLine="420" w:firstLineChars="200"/>
            <w:rPr>
              <w:rStyle w:val="12"/>
              <w:rFonts w:ascii="宋体" w:hAnsi="宋体" w:eastAsia="宋体" w:cs="Times New Roman"/>
              <w:color w:val="auto"/>
              <w:sz w:val="21"/>
              <w:szCs w:val="21"/>
              <w:u w:val="none"/>
            </w:rPr>
          </w:pPr>
          <w:r>
            <w:rPr>
              <w:sz w:val="21"/>
              <w:szCs w:val="21"/>
            </w:rPr>
            <w:fldChar w:fldCharType="begin"/>
          </w:r>
          <w:r>
            <w:rPr>
              <w:sz w:val="21"/>
              <w:szCs w:val="21"/>
            </w:rPr>
            <w:instrText xml:space="preserve"> HYPERLINK \l "_Toc38614663" </w:instrText>
          </w:r>
          <w:r>
            <w:rPr>
              <w:sz w:val="21"/>
              <w:szCs w:val="21"/>
            </w:rPr>
            <w:fldChar w:fldCharType="separate"/>
          </w:r>
          <w:r>
            <w:rPr>
              <w:rStyle w:val="12"/>
              <w:rFonts w:hint="eastAsia" w:ascii="宋体" w:hAnsi="宋体" w:eastAsia="宋体" w:cs="Times New Roman"/>
              <w:color w:val="auto"/>
              <w:sz w:val="21"/>
              <w:szCs w:val="21"/>
              <w:u w:val="none"/>
            </w:rPr>
            <w:t>河南高校新增93个本科专业，撤销6个</w:t>
          </w:r>
          <w:r>
            <w:rPr>
              <w:rStyle w:val="12"/>
              <w:rFonts w:hint="eastAsia" w:ascii="宋体" w:hAnsi="宋体" w:eastAsia="宋体" w:cs="Times New Roman"/>
              <w:color w:val="auto"/>
              <w:sz w:val="21"/>
              <w:szCs w:val="21"/>
              <w:u w:val="none"/>
            </w:rPr>
            <w:tab/>
          </w:r>
          <w:r>
            <w:rPr>
              <w:rStyle w:val="12"/>
              <w:rFonts w:hint="eastAsia" w:ascii="宋体" w:hAnsi="宋体" w:eastAsia="宋体" w:cs="Times New Roman"/>
              <w:color w:val="auto"/>
              <w:sz w:val="21"/>
              <w:szCs w:val="21"/>
              <w:u w:val="none"/>
            </w:rPr>
            <w:fldChar w:fldCharType="begin"/>
          </w:r>
          <w:r>
            <w:rPr>
              <w:rStyle w:val="12"/>
              <w:rFonts w:hint="eastAsia" w:ascii="宋体" w:hAnsi="宋体" w:eastAsia="宋体" w:cs="Times New Roman"/>
              <w:color w:val="auto"/>
              <w:sz w:val="21"/>
              <w:szCs w:val="21"/>
              <w:u w:val="none"/>
            </w:rPr>
            <w:instrText xml:space="preserve"> </w:instrText>
          </w:r>
          <w:r>
            <w:rPr>
              <w:rStyle w:val="12"/>
              <w:rFonts w:ascii="宋体" w:hAnsi="宋体" w:eastAsia="宋体" w:cs="Times New Roman"/>
              <w:color w:val="auto"/>
              <w:sz w:val="21"/>
              <w:szCs w:val="21"/>
              <w:u w:val="none"/>
            </w:rPr>
            <w:instrText xml:space="preserve">PAGEREF _Toc38614663 \h</w:instrText>
          </w:r>
          <w:r>
            <w:rPr>
              <w:rStyle w:val="12"/>
              <w:rFonts w:hint="eastAsia" w:ascii="宋体" w:hAnsi="宋体" w:eastAsia="宋体" w:cs="Times New Roman"/>
              <w:color w:val="auto"/>
              <w:sz w:val="21"/>
              <w:szCs w:val="21"/>
              <w:u w:val="none"/>
            </w:rPr>
            <w:instrText xml:space="preserve"> </w:instrText>
          </w:r>
          <w:r>
            <w:rPr>
              <w:rStyle w:val="12"/>
              <w:rFonts w:hint="eastAsia" w:ascii="宋体" w:hAnsi="宋体" w:eastAsia="宋体" w:cs="Times New Roman"/>
              <w:color w:val="auto"/>
              <w:sz w:val="21"/>
              <w:szCs w:val="21"/>
              <w:u w:val="none"/>
            </w:rPr>
            <w:fldChar w:fldCharType="separate"/>
          </w:r>
          <w:r>
            <w:rPr>
              <w:rStyle w:val="12"/>
              <w:rFonts w:ascii="宋体" w:hAnsi="宋体" w:eastAsia="宋体" w:cs="Times New Roman"/>
              <w:color w:val="auto"/>
              <w:sz w:val="21"/>
              <w:szCs w:val="21"/>
              <w:u w:val="none"/>
            </w:rPr>
            <w:t>3</w:t>
          </w:r>
          <w:r>
            <w:rPr>
              <w:rStyle w:val="12"/>
              <w:rFonts w:hint="eastAsia" w:ascii="宋体" w:hAnsi="宋体" w:eastAsia="宋体" w:cs="Times New Roman"/>
              <w:color w:val="auto"/>
              <w:sz w:val="21"/>
              <w:szCs w:val="21"/>
              <w:u w:val="none"/>
            </w:rPr>
            <w:fldChar w:fldCharType="end"/>
          </w:r>
          <w:r>
            <w:rPr>
              <w:rStyle w:val="12"/>
              <w:rFonts w:hint="eastAsia" w:ascii="宋体" w:hAnsi="宋体" w:eastAsia="宋体" w:cs="Times New Roman"/>
              <w:color w:val="auto"/>
              <w:sz w:val="21"/>
              <w:szCs w:val="21"/>
              <w:u w:val="none"/>
            </w:rPr>
            <w:fldChar w:fldCharType="end"/>
          </w:r>
        </w:p>
        <w:p>
          <w:pPr>
            <w:pStyle w:val="9"/>
            <w:tabs>
              <w:tab w:val="right" w:leader="dot" w:pos="8296"/>
            </w:tabs>
            <w:spacing w:line="240" w:lineRule="auto"/>
            <w:ind w:left="0" w:leftChars="0" w:firstLine="420" w:firstLineChars="200"/>
            <w:rPr>
              <w:rStyle w:val="12"/>
              <w:rFonts w:ascii="宋体" w:hAnsi="宋体" w:eastAsia="宋体" w:cs="Times New Roman"/>
              <w:color w:val="auto"/>
              <w:sz w:val="21"/>
              <w:szCs w:val="21"/>
              <w:u w:val="none"/>
            </w:rPr>
          </w:pPr>
          <w:r>
            <w:rPr>
              <w:sz w:val="21"/>
              <w:szCs w:val="21"/>
            </w:rPr>
            <w:fldChar w:fldCharType="begin"/>
          </w:r>
          <w:r>
            <w:rPr>
              <w:sz w:val="21"/>
              <w:szCs w:val="21"/>
            </w:rPr>
            <w:instrText xml:space="preserve"> HYPERLINK \l "_Toc38614664" </w:instrText>
          </w:r>
          <w:r>
            <w:rPr>
              <w:sz w:val="21"/>
              <w:szCs w:val="21"/>
            </w:rPr>
            <w:fldChar w:fldCharType="separate"/>
          </w:r>
          <w:r>
            <w:rPr>
              <w:rStyle w:val="12"/>
              <w:rFonts w:hint="eastAsia" w:ascii="宋体" w:hAnsi="宋体" w:eastAsia="宋体" w:cs="Times New Roman"/>
              <w:color w:val="auto"/>
              <w:sz w:val="21"/>
              <w:szCs w:val="21"/>
              <w:u w:val="none"/>
            </w:rPr>
            <w:t>教育部批准44个中外合作办学项目，河南四高校4个项目获批</w:t>
          </w:r>
          <w:r>
            <w:rPr>
              <w:rStyle w:val="12"/>
              <w:rFonts w:hint="eastAsia" w:ascii="宋体" w:hAnsi="宋体" w:eastAsia="宋体" w:cs="Times New Roman"/>
              <w:color w:val="auto"/>
              <w:sz w:val="21"/>
              <w:szCs w:val="21"/>
              <w:u w:val="none"/>
            </w:rPr>
            <w:tab/>
          </w:r>
          <w:r>
            <w:rPr>
              <w:rStyle w:val="12"/>
              <w:rFonts w:hint="eastAsia" w:ascii="宋体" w:hAnsi="宋体" w:eastAsia="宋体" w:cs="Times New Roman"/>
              <w:color w:val="auto"/>
              <w:sz w:val="21"/>
              <w:szCs w:val="21"/>
              <w:u w:val="none"/>
            </w:rPr>
            <w:fldChar w:fldCharType="begin"/>
          </w:r>
          <w:r>
            <w:rPr>
              <w:rStyle w:val="12"/>
              <w:rFonts w:hint="eastAsia" w:ascii="宋体" w:hAnsi="宋体" w:eastAsia="宋体" w:cs="Times New Roman"/>
              <w:color w:val="auto"/>
              <w:sz w:val="21"/>
              <w:szCs w:val="21"/>
              <w:u w:val="none"/>
            </w:rPr>
            <w:instrText xml:space="preserve"> </w:instrText>
          </w:r>
          <w:r>
            <w:rPr>
              <w:rStyle w:val="12"/>
              <w:rFonts w:ascii="宋体" w:hAnsi="宋体" w:eastAsia="宋体" w:cs="Times New Roman"/>
              <w:color w:val="auto"/>
              <w:sz w:val="21"/>
              <w:szCs w:val="21"/>
              <w:u w:val="none"/>
            </w:rPr>
            <w:instrText xml:space="preserve">PAGEREF _Toc38614664 \h</w:instrText>
          </w:r>
          <w:r>
            <w:rPr>
              <w:rStyle w:val="12"/>
              <w:rFonts w:hint="eastAsia" w:ascii="宋体" w:hAnsi="宋体" w:eastAsia="宋体" w:cs="Times New Roman"/>
              <w:color w:val="auto"/>
              <w:sz w:val="21"/>
              <w:szCs w:val="21"/>
              <w:u w:val="none"/>
            </w:rPr>
            <w:instrText xml:space="preserve"> </w:instrText>
          </w:r>
          <w:r>
            <w:rPr>
              <w:rStyle w:val="12"/>
              <w:rFonts w:hint="eastAsia" w:ascii="宋体" w:hAnsi="宋体" w:eastAsia="宋体" w:cs="Times New Roman"/>
              <w:color w:val="auto"/>
              <w:sz w:val="21"/>
              <w:szCs w:val="21"/>
              <w:u w:val="none"/>
            </w:rPr>
            <w:fldChar w:fldCharType="separate"/>
          </w:r>
          <w:r>
            <w:rPr>
              <w:rStyle w:val="12"/>
              <w:rFonts w:ascii="宋体" w:hAnsi="宋体" w:eastAsia="宋体" w:cs="Times New Roman"/>
              <w:color w:val="auto"/>
              <w:sz w:val="21"/>
              <w:szCs w:val="21"/>
              <w:u w:val="none"/>
            </w:rPr>
            <w:t>4</w:t>
          </w:r>
          <w:r>
            <w:rPr>
              <w:rStyle w:val="12"/>
              <w:rFonts w:hint="eastAsia" w:ascii="宋体" w:hAnsi="宋体" w:eastAsia="宋体" w:cs="Times New Roman"/>
              <w:color w:val="auto"/>
              <w:sz w:val="21"/>
              <w:szCs w:val="21"/>
              <w:u w:val="none"/>
            </w:rPr>
            <w:fldChar w:fldCharType="end"/>
          </w:r>
          <w:r>
            <w:rPr>
              <w:rStyle w:val="12"/>
              <w:rFonts w:hint="eastAsia" w:ascii="宋体" w:hAnsi="宋体" w:eastAsia="宋体" w:cs="Times New Roman"/>
              <w:color w:val="auto"/>
              <w:sz w:val="21"/>
              <w:szCs w:val="21"/>
              <w:u w:val="none"/>
            </w:rPr>
            <w:fldChar w:fldCharType="end"/>
          </w:r>
        </w:p>
        <w:p>
          <w:pPr>
            <w:pStyle w:val="9"/>
            <w:tabs>
              <w:tab w:val="right" w:leader="dot" w:pos="8296"/>
            </w:tabs>
            <w:spacing w:line="240" w:lineRule="auto"/>
            <w:ind w:left="0" w:leftChars="0" w:firstLine="420" w:firstLineChars="200"/>
            <w:rPr>
              <w:rStyle w:val="12"/>
              <w:rFonts w:ascii="宋体" w:hAnsi="宋体" w:eastAsia="宋体" w:cs="Times New Roman"/>
              <w:color w:val="auto"/>
              <w:sz w:val="21"/>
              <w:szCs w:val="21"/>
              <w:u w:val="none"/>
            </w:rPr>
          </w:pPr>
          <w:r>
            <w:rPr>
              <w:sz w:val="21"/>
              <w:szCs w:val="21"/>
            </w:rPr>
            <w:fldChar w:fldCharType="begin"/>
          </w:r>
          <w:r>
            <w:rPr>
              <w:sz w:val="21"/>
              <w:szCs w:val="21"/>
            </w:rPr>
            <w:instrText xml:space="preserve"> HYPERLINK \l "_Toc38614665" </w:instrText>
          </w:r>
          <w:r>
            <w:rPr>
              <w:sz w:val="21"/>
              <w:szCs w:val="21"/>
            </w:rPr>
            <w:fldChar w:fldCharType="separate"/>
          </w:r>
          <w:r>
            <w:rPr>
              <w:rStyle w:val="12"/>
              <w:rFonts w:hint="eastAsia" w:ascii="宋体" w:hAnsi="宋体" w:eastAsia="宋体" w:cs="Times New Roman"/>
              <w:color w:val="auto"/>
              <w:sz w:val="21"/>
              <w:szCs w:val="21"/>
              <w:u w:val="none"/>
            </w:rPr>
            <w:t>2020年河南批准设立10所高职学院</w:t>
          </w:r>
          <w:r>
            <w:rPr>
              <w:rStyle w:val="12"/>
              <w:rFonts w:hint="eastAsia" w:ascii="宋体" w:hAnsi="宋体" w:eastAsia="宋体" w:cs="Times New Roman"/>
              <w:color w:val="auto"/>
              <w:sz w:val="21"/>
              <w:szCs w:val="21"/>
              <w:u w:val="none"/>
            </w:rPr>
            <w:tab/>
          </w:r>
          <w:r>
            <w:rPr>
              <w:rStyle w:val="12"/>
              <w:rFonts w:hint="eastAsia" w:ascii="宋体" w:hAnsi="宋体" w:eastAsia="宋体" w:cs="Times New Roman"/>
              <w:color w:val="auto"/>
              <w:sz w:val="21"/>
              <w:szCs w:val="21"/>
              <w:u w:val="none"/>
            </w:rPr>
            <w:fldChar w:fldCharType="begin"/>
          </w:r>
          <w:r>
            <w:rPr>
              <w:rStyle w:val="12"/>
              <w:rFonts w:hint="eastAsia" w:ascii="宋体" w:hAnsi="宋体" w:eastAsia="宋体" w:cs="Times New Roman"/>
              <w:color w:val="auto"/>
              <w:sz w:val="21"/>
              <w:szCs w:val="21"/>
              <w:u w:val="none"/>
            </w:rPr>
            <w:instrText xml:space="preserve"> </w:instrText>
          </w:r>
          <w:r>
            <w:rPr>
              <w:rStyle w:val="12"/>
              <w:rFonts w:ascii="宋体" w:hAnsi="宋体" w:eastAsia="宋体" w:cs="Times New Roman"/>
              <w:color w:val="auto"/>
              <w:sz w:val="21"/>
              <w:szCs w:val="21"/>
              <w:u w:val="none"/>
            </w:rPr>
            <w:instrText xml:space="preserve">PAGEREF _Toc38614665 \h</w:instrText>
          </w:r>
          <w:r>
            <w:rPr>
              <w:rStyle w:val="12"/>
              <w:rFonts w:hint="eastAsia" w:ascii="宋体" w:hAnsi="宋体" w:eastAsia="宋体" w:cs="Times New Roman"/>
              <w:color w:val="auto"/>
              <w:sz w:val="21"/>
              <w:szCs w:val="21"/>
              <w:u w:val="none"/>
            </w:rPr>
            <w:instrText xml:space="preserve"> </w:instrText>
          </w:r>
          <w:r>
            <w:rPr>
              <w:rStyle w:val="12"/>
              <w:rFonts w:hint="eastAsia" w:ascii="宋体" w:hAnsi="宋体" w:eastAsia="宋体" w:cs="Times New Roman"/>
              <w:color w:val="auto"/>
              <w:sz w:val="21"/>
              <w:szCs w:val="21"/>
              <w:u w:val="none"/>
            </w:rPr>
            <w:fldChar w:fldCharType="separate"/>
          </w:r>
          <w:r>
            <w:rPr>
              <w:rStyle w:val="12"/>
              <w:rFonts w:ascii="宋体" w:hAnsi="宋体" w:eastAsia="宋体" w:cs="Times New Roman"/>
              <w:color w:val="auto"/>
              <w:sz w:val="21"/>
              <w:szCs w:val="21"/>
              <w:u w:val="none"/>
            </w:rPr>
            <w:t>4</w:t>
          </w:r>
          <w:r>
            <w:rPr>
              <w:rStyle w:val="12"/>
              <w:rFonts w:hint="eastAsia" w:ascii="宋体" w:hAnsi="宋体" w:eastAsia="宋体" w:cs="Times New Roman"/>
              <w:color w:val="auto"/>
              <w:sz w:val="21"/>
              <w:szCs w:val="21"/>
              <w:u w:val="none"/>
            </w:rPr>
            <w:fldChar w:fldCharType="end"/>
          </w:r>
          <w:r>
            <w:rPr>
              <w:rStyle w:val="12"/>
              <w:rFonts w:hint="eastAsia" w:ascii="宋体" w:hAnsi="宋体" w:eastAsia="宋体" w:cs="Times New Roman"/>
              <w:color w:val="auto"/>
              <w:sz w:val="21"/>
              <w:szCs w:val="21"/>
              <w:u w:val="none"/>
            </w:rPr>
            <w:fldChar w:fldCharType="end"/>
          </w:r>
        </w:p>
        <w:p>
          <w:pPr>
            <w:pStyle w:val="9"/>
            <w:tabs>
              <w:tab w:val="right" w:leader="dot" w:pos="8296"/>
            </w:tabs>
            <w:spacing w:line="240" w:lineRule="auto"/>
            <w:ind w:left="0" w:leftChars="0" w:firstLine="420" w:firstLineChars="200"/>
            <w:rPr>
              <w:rStyle w:val="12"/>
              <w:rFonts w:ascii="宋体" w:hAnsi="宋体" w:eastAsia="宋体" w:cs="Times New Roman"/>
              <w:color w:val="auto"/>
              <w:sz w:val="21"/>
              <w:szCs w:val="21"/>
              <w:u w:val="none"/>
            </w:rPr>
          </w:pPr>
          <w:r>
            <w:rPr>
              <w:sz w:val="21"/>
              <w:szCs w:val="21"/>
            </w:rPr>
            <w:fldChar w:fldCharType="begin"/>
          </w:r>
          <w:r>
            <w:rPr>
              <w:sz w:val="21"/>
              <w:szCs w:val="21"/>
            </w:rPr>
            <w:instrText xml:space="preserve"> HYPERLINK \l "_Toc38614666" </w:instrText>
          </w:r>
          <w:r>
            <w:rPr>
              <w:sz w:val="21"/>
              <w:szCs w:val="21"/>
            </w:rPr>
            <w:fldChar w:fldCharType="separate"/>
          </w:r>
          <w:r>
            <w:rPr>
              <w:rStyle w:val="12"/>
              <w:rFonts w:hint="eastAsia" w:ascii="宋体" w:hAnsi="宋体" w:eastAsia="宋体" w:cs="Times New Roman"/>
              <w:color w:val="auto"/>
              <w:sz w:val="21"/>
              <w:szCs w:val="21"/>
              <w:u w:val="none"/>
            </w:rPr>
            <w:t>河南20余所高校新增省级工程技术研究中心</w:t>
          </w:r>
          <w:r>
            <w:rPr>
              <w:rStyle w:val="12"/>
              <w:rFonts w:hint="eastAsia" w:ascii="宋体" w:hAnsi="宋体" w:eastAsia="宋体" w:cs="Times New Roman"/>
              <w:color w:val="auto"/>
              <w:sz w:val="21"/>
              <w:szCs w:val="21"/>
              <w:u w:val="none"/>
            </w:rPr>
            <w:tab/>
          </w:r>
          <w:r>
            <w:rPr>
              <w:rStyle w:val="12"/>
              <w:rFonts w:hint="eastAsia" w:ascii="宋体" w:hAnsi="宋体" w:eastAsia="宋体" w:cs="Times New Roman"/>
              <w:color w:val="auto"/>
              <w:sz w:val="21"/>
              <w:szCs w:val="21"/>
              <w:u w:val="none"/>
            </w:rPr>
            <w:fldChar w:fldCharType="begin"/>
          </w:r>
          <w:r>
            <w:rPr>
              <w:rStyle w:val="12"/>
              <w:rFonts w:hint="eastAsia" w:ascii="宋体" w:hAnsi="宋体" w:eastAsia="宋体" w:cs="Times New Roman"/>
              <w:color w:val="auto"/>
              <w:sz w:val="21"/>
              <w:szCs w:val="21"/>
              <w:u w:val="none"/>
            </w:rPr>
            <w:instrText xml:space="preserve"> </w:instrText>
          </w:r>
          <w:r>
            <w:rPr>
              <w:rStyle w:val="12"/>
              <w:rFonts w:ascii="宋体" w:hAnsi="宋体" w:eastAsia="宋体" w:cs="Times New Roman"/>
              <w:color w:val="auto"/>
              <w:sz w:val="21"/>
              <w:szCs w:val="21"/>
              <w:u w:val="none"/>
            </w:rPr>
            <w:instrText xml:space="preserve">PAGEREF _Toc38614666 \h</w:instrText>
          </w:r>
          <w:r>
            <w:rPr>
              <w:rStyle w:val="12"/>
              <w:rFonts w:hint="eastAsia" w:ascii="宋体" w:hAnsi="宋体" w:eastAsia="宋体" w:cs="Times New Roman"/>
              <w:color w:val="auto"/>
              <w:sz w:val="21"/>
              <w:szCs w:val="21"/>
              <w:u w:val="none"/>
            </w:rPr>
            <w:instrText xml:space="preserve"> </w:instrText>
          </w:r>
          <w:r>
            <w:rPr>
              <w:rStyle w:val="12"/>
              <w:rFonts w:hint="eastAsia" w:ascii="宋体" w:hAnsi="宋体" w:eastAsia="宋体" w:cs="Times New Roman"/>
              <w:color w:val="auto"/>
              <w:sz w:val="21"/>
              <w:szCs w:val="21"/>
              <w:u w:val="none"/>
            </w:rPr>
            <w:fldChar w:fldCharType="separate"/>
          </w:r>
          <w:r>
            <w:rPr>
              <w:rStyle w:val="12"/>
              <w:rFonts w:ascii="宋体" w:hAnsi="宋体" w:eastAsia="宋体" w:cs="Times New Roman"/>
              <w:color w:val="auto"/>
              <w:sz w:val="21"/>
              <w:szCs w:val="21"/>
              <w:u w:val="none"/>
            </w:rPr>
            <w:t>4</w:t>
          </w:r>
          <w:r>
            <w:rPr>
              <w:rStyle w:val="12"/>
              <w:rFonts w:hint="eastAsia" w:ascii="宋体" w:hAnsi="宋体" w:eastAsia="宋体" w:cs="Times New Roman"/>
              <w:color w:val="auto"/>
              <w:sz w:val="21"/>
              <w:szCs w:val="21"/>
              <w:u w:val="none"/>
            </w:rPr>
            <w:fldChar w:fldCharType="end"/>
          </w:r>
          <w:r>
            <w:rPr>
              <w:rStyle w:val="12"/>
              <w:rFonts w:hint="eastAsia" w:ascii="宋体" w:hAnsi="宋体" w:eastAsia="宋体" w:cs="Times New Roman"/>
              <w:color w:val="auto"/>
              <w:sz w:val="21"/>
              <w:szCs w:val="21"/>
              <w:u w:val="none"/>
            </w:rPr>
            <w:fldChar w:fldCharType="end"/>
          </w:r>
        </w:p>
        <w:p>
          <w:pPr>
            <w:pStyle w:val="9"/>
            <w:tabs>
              <w:tab w:val="right" w:leader="dot" w:pos="8296"/>
            </w:tabs>
            <w:spacing w:line="240" w:lineRule="auto"/>
            <w:ind w:left="0" w:leftChars="0" w:firstLine="420" w:firstLineChars="200"/>
            <w:rPr>
              <w:rStyle w:val="12"/>
              <w:rFonts w:ascii="宋体" w:hAnsi="宋体" w:eastAsia="宋体" w:cs="Times New Roman"/>
              <w:color w:val="auto"/>
              <w:sz w:val="21"/>
              <w:szCs w:val="21"/>
              <w:u w:val="none"/>
            </w:rPr>
          </w:pPr>
          <w:r>
            <w:rPr>
              <w:sz w:val="21"/>
              <w:szCs w:val="21"/>
            </w:rPr>
            <w:fldChar w:fldCharType="begin"/>
          </w:r>
          <w:r>
            <w:rPr>
              <w:sz w:val="21"/>
              <w:szCs w:val="21"/>
            </w:rPr>
            <w:instrText xml:space="preserve"> HYPERLINK \l "_Toc38614667" </w:instrText>
          </w:r>
          <w:r>
            <w:rPr>
              <w:sz w:val="21"/>
              <w:szCs w:val="21"/>
            </w:rPr>
            <w:fldChar w:fldCharType="separate"/>
          </w:r>
          <w:r>
            <w:rPr>
              <w:rStyle w:val="12"/>
              <w:rFonts w:hint="eastAsia" w:ascii="宋体" w:hAnsi="宋体" w:eastAsia="宋体" w:cs="Times New Roman"/>
              <w:color w:val="auto"/>
              <w:sz w:val="21"/>
              <w:szCs w:val="21"/>
              <w:u w:val="none"/>
            </w:rPr>
            <w:t>河南：支持2所以上本科院校和若干职业院校开设家政服务相关专业</w:t>
          </w:r>
          <w:r>
            <w:rPr>
              <w:rStyle w:val="12"/>
              <w:rFonts w:hint="eastAsia" w:ascii="宋体" w:hAnsi="宋体" w:eastAsia="宋体" w:cs="Times New Roman"/>
              <w:color w:val="auto"/>
              <w:sz w:val="21"/>
              <w:szCs w:val="21"/>
              <w:u w:val="none"/>
            </w:rPr>
            <w:tab/>
          </w:r>
          <w:r>
            <w:rPr>
              <w:rStyle w:val="12"/>
              <w:rFonts w:hint="eastAsia" w:ascii="宋体" w:hAnsi="宋体" w:eastAsia="宋体" w:cs="Times New Roman"/>
              <w:color w:val="auto"/>
              <w:sz w:val="21"/>
              <w:szCs w:val="21"/>
              <w:u w:val="none"/>
            </w:rPr>
            <w:fldChar w:fldCharType="begin"/>
          </w:r>
          <w:r>
            <w:rPr>
              <w:rStyle w:val="12"/>
              <w:rFonts w:hint="eastAsia" w:ascii="宋体" w:hAnsi="宋体" w:eastAsia="宋体" w:cs="Times New Roman"/>
              <w:color w:val="auto"/>
              <w:sz w:val="21"/>
              <w:szCs w:val="21"/>
              <w:u w:val="none"/>
            </w:rPr>
            <w:instrText xml:space="preserve"> </w:instrText>
          </w:r>
          <w:r>
            <w:rPr>
              <w:rStyle w:val="12"/>
              <w:rFonts w:ascii="宋体" w:hAnsi="宋体" w:eastAsia="宋体" w:cs="Times New Roman"/>
              <w:color w:val="auto"/>
              <w:sz w:val="21"/>
              <w:szCs w:val="21"/>
              <w:u w:val="none"/>
            </w:rPr>
            <w:instrText xml:space="preserve">PAGEREF _Toc38614667 \h</w:instrText>
          </w:r>
          <w:r>
            <w:rPr>
              <w:rStyle w:val="12"/>
              <w:rFonts w:hint="eastAsia" w:ascii="宋体" w:hAnsi="宋体" w:eastAsia="宋体" w:cs="Times New Roman"/>
              <w:color w:val="auto"/>
              <w:sz w:val="21"/>
              <w:szCs w:val="21"/>
              <w:u w:val="none"/>
            </w:rPr>
            <w:instrText xml:space="preserve"> </w:instrText>
          </w:r>
          <w:r>
            <w:rPr>
              <w:rStyle w:val="12"/>
              <w:rFonts w:hint="eastAsia" w:ascii="宋体" w:hAnsi="宋体" w:eastAsia="宋体" w:cs="Times New Roman"/>
              <w:color w:val="auto"/>
              <w:sz w:val="21"/>
              <w:szCs w:val="21"/>
              <w:u w:val="none"/>
            </w:rPr>
            <w:fldChar w:fldCharType="separate"/>
          </w:r>
          <w:r>
            <w:rPr>
              <w:rStyle w:val="12"/>
              <w:rFonts w:ascii="宋体" w:hAnsi="宋体" w:eastAsia="宋体" w:cs="Times New Roman"/>
              <w:color w:val="auto"/>
              <w:sz w:val="21"/>
              <w:szCs w:val="21"/>
              <w:u w:val="none"/>
            </w:rPr>
            <w:t>5</w:t>
          </w:r>
          <w:r>
            <w:rPr>
              <w:rStyle w:val="12"/>
              <w:rFonts w:hint="eastAsia" w:ascii="宋体" w:hAnsi="宋体" w:eastAsia="宋体" w:cs="Times New Roman"/>
              <w:color w:val="auto"/>
              <w:sz w:val="21"/>
              <w:szCs w:val="21"/>
              <w:u w:val="none"/>
            </w:rPr>
            <w:fldChar w:fldCharType="end"/>
          </w:r>
          <w:r>
            <w:rPr>
              <w:rStyle w:val="12"/>
              <w:rFonts w:hint="eastAsia" w:ascii="宋体" w:hAnsi="宋体" w:eastAsia="宋体" w:cs="Times New Roman"/>
              <w:color w:val="auto"/>
              <w:sz w:val="21"/>
              <w:szCs w:val="21"/>
              <w:u w:val="none"/>
            </w:rPr>
            <w:fldChar w:fldCharType="end"/>
          </w:r>
        </w:p>
        <w:p>
          <w:pPr>
            <w:pStyle w:val="9"/>
            <w:tabs>
              <w:tab w:val="right" w:leader="dot" w:pos="8296"/>
            </w:tabs>
            <w:spacing w:line="240" w:lineRule="auto"/>
            <w:ind w:left="0" w:leftChars="0" w:firstLine="420" w:firstLineChars="200"/>
            <w:rPr>
              <w:rStyle w:val="12"/>
              <w:rFonts w:ascii="宋体" w:hAnsi="宋体" w:eastAsia="宋体" w:cs="Times New Roman"/>
              <w:color w:val="auto"/>
              <w:sz w:val="21"/>
              <w:szCs w:val="21"/>
              <w:u w:val="none"/>
            </w:rPr>
          </w:pPr>
          <w:r>
            <w:rPr>
              <w:sz w:val="21"/>
              <w:szCs w:val="21"/>
            </w:rPr>
            <w:fldChar w:fldCharType="begin"/>
          </w:r>
          <w:r>
            <w:rPr>
              <w:sz w:val="21"/>
              <w:szCs w:val="21"/>
            </w:rPr>
            <w:instrText xml:space="preserve"> HYPERLINK \l "_Toc38614668" </w:instrText>
          </w:r>
          <w:r>
            <w:rPr>
              <w:sz w:val="21"/>
              <w:szCs w:val="21"/>
            </w:rPr>
            <w:fldChar w:fldCharType="separate"/>
          </w:r>
          <w:r>
            <w:rPr>
              <w:rStyle w:val="12"/>
              <w:rFonts w:hint="eastAsia" w:ascii="宋体" w:hAnsi="宋体" w:eastAsia="宋体" w:cs="Times New Roman"/>
              <w:color w:val="auto"/>
              <w:sz w:val="21"/>
              <w:szCs w:val="21"/>
              <w:u w:val="none"/>
            </w:rPr>
            <w:t>河南：启动百校万岗联合网络双选会</w:t>
          </w:r>
          <w:r>
            <w:rPr>
              <w:rStyle w:val="12"/>
              <w:rFonts w:hint="eastAsia" w:ascii="宋体" w:hAnsi="宋体" w:eastAsia="宋体" w:cs="Times New Roman"/>
              <w:color w:val="auto"/>
              <w:sz w:val="21"/>
              <w:szCs w:val="21"/>
              <w:u w:val="none"/>
            </w:rPr>
            <w:tab/>
          </w:r>
          <w:r>
            <w:rPr>
              <w:rStyle w:val="12"/>
              <w:rFonts w:hint="eastAsia" w:ascii="宋体" w:hAnsi="宋体" w:eastAsia="宋体" w:cs="Times New Roman"/>
              <w:color w:val="auto"/>
              <w:sz w:val="21"/>
              <w:szCs w:val="21"/>
              <w:u w:val="none"/>
            </w:rPr>
            <w:fldChar w:fldCharType="begin"/>
          </w:r>
          <w:r>
            <w:rPr>
              <w:rStyle w:val="12"/>
              <w:rFonts w:hint="eastAsia" w:ascii="宋体" w:hAnsi="宋体" w:eastAsia="宋体" w:cs="Times New Roman"/>
              <w:color w:val="auto"/>
              <w:sz w:val="21"/>
              <w:szCs w:val="21"/>
              <w:u w:val="none"/>
            </w:rPr>
            <w:instrText xml:space="preserve"> </w:instrText>
          </w:r>
          <w:r>
            <w:rPr>
              <w:rStyle w:val="12"/>
              <w:rFonts w:ascii="宋体" w:hAnsi="宋体" w:eastAsia="宋体" w:cs="Times New Roman"/>
              <w:color w:val="auto"/>
              <w:sz w:val="21"/>
              <w:szCs w:val="21"/>
              <w:u w:val="none"/>
            </w:rPr>
            <w:instrText xml:space="preserve">PAGEREF _Toc38614668 \h</w:instrText>
          </w:r>
          <w:r>
            <w:rPr>
              <w:rStyle w:val="12"/>
              <w:rFonts w:hint="eastAsia" w:ascii="宋体" w:hAnsi="宋体" w:eastAsia="宋体" w:cs="Times New Roman"/>
              <w:color w:val="auto"/>
              <w:sz w:val="21"/>
              <w:szCs w:val="21"/>
              <w:u w:val="none"/>
            </w:rPr>
            <w:instrText xml:space="preserve"> </w:instrText>
          </w:r>
          <w:r>
            <w:rPr>
              <w:rStyle w:val="12"/>
              <w:rFonts w:hint="eastAsia" w:ascii="宋体" w:hAnsi="宋体" w:eastAsia="宋体" w:cs="Times New Roman"/>
              <w:color w:val="auto"/>
              <w:sz w:val="21"/>
              <w:szCs w:val="21"/>
              <w:u w:val="none"/>
            </w:rPr>
            <w:fldChar w:fldCharType="separate"/>
          </w:r>
          <w:r>
            <w:rPr>
              <w:rStyle w:val="12"/>
              <w:rFonts w:ascii="宋体" w:hAnsi="宋体" w:eastAsia="宋体" w:cs="Times New Roman"/>
              <w:color w:val="auto"/>
              <w:sz w:val="21"/>
              <w:szCs w:val="21"/>
              <w:u w:val="none"/>
            </w:rPr>
            <w:t>5</w:t>
          </w:r>
          <w:r>
            <w:rPr>
              <w:rStyle w:val="12"/>
              <w:rFonts w:hint="eastAsia" w:ascii="宋体" w:hAnsi="宋体" w:eastAsia="宋体" w:cs="Times New Roman"/>
              <w:color w:val="auto"/>
              <w:sz w:val="21"/>
              <w:szCs w:val="21"/>
              <w:u w:val="none"/>
            </w:rPr>
            <w:fldChar w:fldCharType="end"/>
          </w:r>
          <w:r>
            <w:rPr>
              <w:rStyle w:val="12"/>
              <w:rFonts w:hint="eastAsia" w:ascii="宋体" w:hAnsi="宋体" w:eastAsia="宋体" w:cs="Times New Roman"/>
              <w:color w:val="auto"/>
              <w:sz w:val="21"/>
              <w:szCs w:val="21"/>
              <w:u w:val="none"/>
            </w:rPr>
            <w:fldChar w:fldCharType="end"/>
          </w:r>
        </w:p>
        <w:p>
          <w:pPr>
            <w:pStyle w:val="9"/>
            <w:tabs>
              <w:tab w:val="right" w:leader="dot" w:pos="8296"/>
            </w:tabs>
            <w:spacing w:line="240" w:lineRule="auto"/>
            <w:ind w:left="0" w:leftChars="0"/>
            <w:rPr>
              <w:rStyle w:val="12"/>
              <w:rFonts w:ascii="宋体" w:hAnsi="宋体" w:eastAsia="宋体" w:cs="Times New Roman"/>
              <w:b/>
              <w:color w:val="auto"/>
              <w:sz w:val="21"/>
              <w:szCs w:val="21"/>
              <w:u w:val="none"/>
            </w:rPr>
          </w:pPr>
          <w:r>
            <w:rPr>
              <w:rStyle w:val="12"/>
              <w:rFonts w:hint="eastAsia" w:ascii="宋体" w:hAnsi="宋体" w:eastAsia="宋体" w:cs="Times New Roman"/>
              <w:b/>
              <w:color w:val="auto"/>
              <w:sz w:val="21"/>
              <w:szCs w:val="21"/>
              <w:u w:val="none"/>
            </w:rPr>
            <w:t>高教论坛</w:t>
          </w:r>
        </w:p>
        <w:p>
          <w:pPr>
            <w:pStyle w:val="9"/>
            <w:tabs>
              <w:tab w:val="right" w:leader="dot" w:pos="8296"/>
            </w:tabs>
            <w:spacing w:line="240" w:lineRule="auto"/>
            <w:ind w:left="0" w:leftChars="0" w:firstLine="420" w:firstLineChars="200"/>
            <w:rPr>
              <w:rStyle w:val="12"/>
              <w:rFonts w:ascii="宋体" w:hAnsi="宋体" w:eastAsia="宋体" w:cs="Times New Roman"/>
              <w:color w:val="auto"/>
              <w:sz w:val="21"/>
              <w:szCs w:val="21"/>
              <w:u w:val="none"/>
            </w:rPr>
          </w:pPr>
          <w:r>
            <w:rPr>
              <w:sz w:val="21"/>
              <w:szCs w:val="21"/>
            </w:rPr>
            <w:fldChar w:fldCharType="begin"/>
          </w:r>
          <w:r>
            <w:rPr>
              <w:sz w:val="21"/>
              <w:szCs w:val="21"/>
            </w:rPr>
            <w:instrText xml:space="preserve"> HYPERLINK \l "_Toc38614669" </w:instrText>
          </w:r>
          <w:r>
            <w:rPr>
              <w:sz w:val="21"/>
              <w:szCs w:val="21"/>
            </w:rPr>
            <w:fldChar w:fldCharType="separate"/>
          </w:r>
          <w:r>
            <w:rPr>
              <w:rStyle w:val="12"/>
              <w:rFonts w:hint="eastAsia" w:ascii="宋体" w:hAnsi="宋体" w:eastAsia="宋体" w:cs="Times New Roman"/>
              <w:color w:val="auto"/>
              <w:sz w:val="21"/>
              <w:szCs w:val="21"/>
              <w:u w:val="none"/>
            </w:rPr>
            <w:t>提升本科教学质量如何发力</w:t>
          </w:r>
          <w:r>
            <w:rPr>
              <w:rStyle w:val="12"/>
              <w:rFonts w:hint="eastAsia" w:ascii="宋体" w:hAnsi="宋体" w:eastAsia="宋体" w:cs="Times New Roman"/>
              <w:color w:val="auto"/>
              <w:sz w:val="21"/>
              <w:szCs w:val="21"/>
              <w:u w:val="none"/>
            </w:rPr>
            <w:tab/>
          </w:r>
          <w:r>
            <w:rPr>
              <w:rStyle w:val="12"/>
              <w:rFonts w:hint="eastAsia" w:ascii="宋体" w:hAnsi="宋体" w:eastAsia="宋体" w:cs="Times New Roman"/>
              <w:color w:val="auto"/>
              <w:sz w:val="21"/>
              <w:szCs w:val="21"/>
              <w:u w:val="none"/>
            </w:rPr>
            <w:fldChar w:fldCharType="begin"/>
          </w:r>
          <w:r>
            <w:rPr>
              <w:rStyle w:val="12"/>
              <w:rFonts w:hint="eastAsia" w:ascii="宋体" w:hAnsi="宋体" w:eastAsia="宋体" w:cs="Times New Roman"/>
              <w:color w:val="auto"/>
              <w:sz w:val="21"/>
              <w:szCs w:val="21"/>
              <w:u w:val="none"/>
            </w:rPr>
            <w:instrText xml:space="preserve"> </w:instrText>
          </w:r>
          <w:r>
            <w:rPr>
              <w:rStyle w:val="12"/>
              <w:rFonts w:ascii="宋体" w:hAnsi="宋体" w:eastAsia="宋体" w:cs="Times New Roman"/>
              <w:color w:val="auto"/>
              <w:sz w:val="21"/>
              <w:szCs w:val="21"/>
              <w:u w:val="none"/>
            </w:rPr>
            <w:instrText xml:space="preserve">PAGEREF _Toc38614669 \h</w:instrText>
          </w:r>
          <w:r>
            <w:rPr>
              <w:rStyle w:val="12"/>
              <w:rFonts w:hint="eastAsia" w:ascii="宋体" w:hAnsi="宋体" w:eastAsia="宋体" w:cs="Times New Roman"/>
              <w:color w:val="auto"/>
              <w:sz w:val="21"/>
              <w:szCs w:val="21"/>
              <w:u w:val="none"/>
            </w:rPr>
            <w:instrText xml:space="preserve"> </w:instrText>
          </w:r>
          <w:r>
            <w:rPr>
              <w:rStyle w:val="12"/>
              <w:rFonts w:hint="eastAsia" w:ascii="宋体" w:hAnsi="宋体" w:eastAsia="宋体" w:cs="Times New Roman"/>
              <w:color w:val="auto"/>
              <w:sz w:val="21"/>
              <w:szCs w:val="21"/>
              <w:u w:val="none"/>
            </w:rPr>
            <w:fldChar w:fldCharType="separate"/>
          </w:r>
          <w:r>
            <w:rPr>
              <w:rStyle w:val="12"/>
              <w:rFonts w:ascii="宋体" w:hAnsi="宋体" w:eastAsia="宋体" w:cs="Times New Roman"/>
              <w:color w:val="auto"/>
              <w:sz w:val="21"/>
              <w:szCs w:val="21"/>
              <w:u w:val="none"/>
            </w:rPr>
            <w:t>6</w:t>
          </w:r>
          <w:r>
            <w:rPr>
              <w:rStyle w:val="12"/>
              <w:rFonts w:hint="eastAsia" w:ascii="宋体" w:hAnsi="宋体" w:eastAsia="宋体" w:cs="Times New Roman"/>
              <w:color w:val="auto"/>
              <w:sz w:val="21"/>
              <w:szCs w:val="21"/>
              <w:u w:val="none"/>
            </w:rPr>
            <w:fldChar w:fldCharType="end"/>
          </w:r>
          <w:r>
            <w:rPr>
              <w:rStyle w:val="12"/>
              <w:rFonts w:hint="eastAsia" w:ascii="宋体" w:hAnsi="宋体" w:eastAsia="宋体" w:cs="Times New Roman"/>
              <w:color w:val="auto"/>
              <w:sz w:val="21"/>
              <w:szCs w:val="21"/>
              <w:u w:val="none"/>
            </w:rPr>
            <w:fldChar w:fldCharType="end"/>
          </w:r>
        </w:p>
        <w:p>
          <w:pPr>
            <w:pStyle w:val="9"/>
            <w:tabs>
              <w:tab w:val="right" w:leader="dot" w:pos="8296"/>
            </w:tabs>
            <w:spacing w:line="240" w:lineRule="auto"/>
            <w:ind w:left="0" w:leftChars="0"/>
            <w:rPr>
              <w:rStyle w:val="12"/>
              <w:rFonts w:ascii="宋体" w:hAnsi="宋体" w:eastAsia="宋体" w:cs="Times New Roman"/>
              <w:b/>
              <w:color w:val="auto"/>
              <w:sz w:val="21"/>
              <w:szCs w:val="21"/>
              <w:u w:val="none"/>
            </w:rPr>
          </w:pPr>
          <w:r>
            <w:rPr>
              <w:rStyle w:val="12"/>
              <w:rFonts w:hint="eastAsia" w:ascii="宋体" w:hAnsi="宋体" w:eastAsia="宋体" w:cs="Times New Roman"/>
              <w:b/>
              <w:color w:val="auto"/>
              <w:sz w:val="21"/>
              <w:szCs w:val="21"/>
              <w:u w:val="none"/>
            </w:rPr>
            <w:t>高教研究</w:t>
          </w:r>
        </w:p>
        <w:p>
          <w:pPr>
            <w:pStyle w:val="9"/>
            <w:tabs>
              <w:tab w:val="right" w:leader="dot" w:pos="8296"/>
            </w:tabs>
            <w:spacing w:line="240" w:lineRule="auto"/>
            <w:ind w:left="0" w:leftChars="0" w:firstLine="420" w:firstLineChars="200"/>
            <w:rPr>
              <w:rStyle w:val="12"/>
              <w:rFonts w:ascii="宋体" w:hAnsi="宋体" w:eastAsia="宋体" w:cs="Times New Roman"/>
              <w:color w:val="auto"/>
              <w:sz w:val="21"/>
              <w:szCs w:val="21"/>
              <w:u w:val="none"/>
            </w:rPr>
          </w:pPr>
          <w:r>
            <w:rPr>
              <w:sz w:val="21"/>
              <w:szCs w:val="21"/>
            </w:rPr>
            <w:fldChar w:fldCharType="begin"/>
          </w:r>
          <w:r>
            <w:rPr>
              <w:sz w:val="21"/>
              <w:szCs w:val="21"/>
            </w:rPr>
            <w:instrText xml:space="preserve"> HYPERLINK \l "_Toc38614670" </w:instrText>
          </w:r>
          <w:r>
            <w:rPr>
              <w:sz w:val="21"/>
              <w:szCs w:val="21"/>
            </w:rPr>
            <w:fldChar w:fldCharType="separate"/>
          </w:r>
          <w:r>
            <w:rPr>
              <w:rStyle w:val="12"/>
              <w:rFonts w:hint="eastAsia" w:ascii="宋体" w:hAnsi="宋体" w:eastAsia="宋体" w:cs="Times New Roman"/>
              <w:color w:val="auto"/>
              <w:sz w:val="21"/>
              <w:szCs w:val="21"/>
              <w:u w:val="none"/>
            </w:rPr>
            <w:t>构建中国特色高校评价体系刻不容缓</w:t>
          </w:r>
          <w:r>
            <w:rPr>
              <w:rStyle w:val="12"/>
              <w:rFonts w:hint="eastAsia" w:ascii="宋体" w:hAnsi="宋体" w:eastAsia="宋体" w:cs="Times New Roman"/>
              <w:color w:val="auto"/>
              <w:sz w:val="21"/>
              <w:szCs w:val="21"/>
              <w:u w:val="none"/>
            </w:rPr>
            <w:tab/>
          </w:r>
          <w:r>
            <w:rPr>
              <w:rStyle w:val="12"/>
              <w:rFonts w:hint="eastAsia" w:ascii="宋体" w:hAnsi="宋体" w:eastAsia="宋体" w:cs="Times New Roman"/>
              <w:color w:val="auto"/>
              <w:sz w:val="21"/>
              <w:szCs w:val="21"/>
              <w:u w:val="none"/>
            </w:rPr>
            <w:fldChar w:fldCharType="begin"/>
          </w:r>
          <w:r>
            <w:rPr>
              <w:rStyle w:val="12"/>
              <w:rFonts w:hint="eastAsia" w:ascii="宋体" w:hAnsi="宋体" w:eastAsia="宋体" w:cs="Times New Roman"/>
              <w:color w:val="auto"/>
              <w:sz w:val="21"/>
              <w:szCs w:val="21"/>
              <w:u w:val="none"/>
            </w:rPr>
            <w:instrText xml:space="preserve"> </w:instrText>
          </w:r>
          <w:r>
            <w:rPr>
              <w:rStyle w:val="12"/>
              <w:rFonts w:ascii="宋体" w:hAnsi="宋体" w:eastAsia="宋体" w:cs="Times New Roman"/>
              <w:color w:val="auto"/>
              <w:sz w:val="21"/>
              <w:szCs w:val="21"/>
              <w:u w:val="none"/>
            </w:rPr>
            <w:instrText xml:space="preserve">PAGEREF _Toc38614670 \h</w:instrText>
          </w:r>
          <w:r>
            <w:rPr>
              <w:rStyle w:val="12"/>
              <w:rFonts w:hint="eastAsia" w:ascii="宋体" w:hAnsi="宋体" w:eastAsia="宋体" w:cs="Times New Roman"/>
              <w:color w:val="auto"/>
              <w:sz w:val="21"/>
              <w:szCs w:val="21"/>
              <w:u w:val="none"/>
            </w:rPr>
            <w:instrText xml:space="preserve"> </w:instrText>
          </w:r>
          <w:r>
            <w:rPr>
              <w:rStyle w:val="12"/>
              <w:rFonts w:hint="eastAsia" w:ascii="宋体" w:hAnsi="宋体" w:eastAsia="宋体" w:cs="Times New Roman"/>
              <w:color w:val="auto"/>
              <w:sz w:val="21"/>
              <w:szCs w:val="21"/>
              <w:u w:val="none"/>
            </w:rPr>
            <w:fldChar w:fldCharType="separate"/>
          </w:r>
          <w:r>
            <w:rPr>
              <w:rStyle w:val="12"/>
              <w:rFonts w:ascii="宋体" w:hAnsi="宋体" w:eastAsia="宋体" w:cs="Times New Roman"/>
              <w:color w:val="auto"/>
              <w:sz w:val="21"/>
              <w:szCs w:val="21"/>
              <w:u w:val="none"/>
            </w:rPr>
            <w:t>11</w:t>
          </w:r>
          <w:r>
            <w:rPr>
              <w:rStyle w:val="12"/>
              <w:rFonts w:hint="eastAsia" w:ascii="宋体" w:hAnsi="宋体" w:eastAsia="宋体" w:cs="Times New Roman"/>
              <w:color w:val="auto"/>
              <w:sz w:val="21"/>
              <w:szCs w:val="21"/>
              <w:u w:val="none"/>
            </w:rPr>
            <w:fldChar w:fldCharType="end"/>
          </w:r>
          <w:r>
            <w:rPr>
              <w:rStyle w:val="12"/>
              <w:rFonts w:hint="eastAsia" w:ascii="宋体" w:hAnsi="宋体" w:eastAsia="宋体" w:cs="Times New Roman"/>
              <w:color w:val="auto"/>
              <w:sz w:val="21"/>
              <w:szCs w:val="21"/>
              <w:u w:val="none"/>
            </w:rPr>
            <w:fldChar w:fldCharType="end"/>
          </w:r>
        </w:p>
        <w:p>
          <w:pPr>
            <w:pStyle w:val="9"/>
            <w:tabs>
              <w:tab w:val="right" w:leader="dot" w:pos="8296"/>
            </w:tabs>
            <w:spacing w:line="240" w:lineRule="auto"/>
            <w:ind w:left="0" w:leftChars="0" w:firstLine="420" w:firstLineChars="200"/>
            <w:rPr>
              <w:rStyle w:val="12"/>
              <w:rFonts w:ascii="宋体" w:hAnsi="宋体" w:eastAsia="宋体" w:cs="Times New Roman"/>
              <w:color w:val="auto"/>
              <w:sz w:val="21"/>
              <w:szCs w:val="21"/>
              <w:u w:val="none"/>
            </w:rPr>
          </w:pPr>
          <w:r>
            <w:rPr>
              <w:sz w:val="21"/>
              <w:szCs w:val="21"/>
            </w:rPr>
            <w:fldChar w:fldCharType="begin"/>
          </w:r>
          <w:r>
            <w:rPr>
              <w:sz w:val="21"/>
              <w:szCs w:val="21"/>
            </w:rPr>
            <w:instrText xml:space="preserve"> HYPERLINK \l "_Toc38614671" </w:instrText>
          </w:r>
          <w:r>
            <w:rPr>
              <w:sz w:val="21"/>
              <w:szCs w:val="21"/>
            </w:rPr>
            <w:fldChar w:fldCharType="separate"/>
          </w:r>
          <w:r>
            <w:rPr>
              <w:rStyle w:val="12"/>
              <w:rFonts w:hint="eastAsia" w:ascii="宋体" w:hAnsi="宋体" w:eastAsia="宋体" w:cs="Times New Roman"/>
              <w:color w:val="auto"/>
              <w:sz w:val="21"/>
              <w:szCs w:val="21"/>
              <w:u w:val="none"/>
            </w:rPr>
            <w:t>高校如何面对生涯规划教育新要求</w:t>
          </w:r>
          <w:r>
            <w:rPr>
              <w:rStyle w:val="12"/>
              <w:rFonts w:hint="eastAsia" w:ascii="宋体" w:hAnsi="宋体" w:eastAsia="宋体" w:cs="Times New Roman"/>
              <w:color w:val="auto"/>
              <w:sz w:val="21"/>
              <w:szCs w:val="21"/>
              <w:u w:val="none"/>
            </w:rPr>
            <w:tab/>
          </w:r>
          <w:r>
            <w:rPr>
              <w:rStyle w:val="12"/>
              <w:rFonts w:hint="eastAsia" w:ascii="宋体" w:hAnsi="宋体" w:eastAsia="宋体" w:cs="Times New Roman"/>
              <w:color w:val="auto"/>
              <w:sz w:val="21"/>
              <w:szCs w:val="21"/>
              <w:u w:val="none"/>
            </w:rPr>
            <w:fldChar w:fldCharType="begin"/>
          </w:r>
          <w:r>
            <w:rPr>
              <w:rStyle w:val="12"/>
              <w:rFonts w:hint="eastAsia" w:ascii="宋体" w:hAnsi="宋体" w:eastAsia="宋体" w:cs="Times New Roman"/>
              <w:color w:val="auto"/>
              <w:sz w:val="21"/>
              <w:szCs w:val="21"/>
              <w:u w:val="none"/>
            </w:rPr>
            <w:instrText xml:space="preserve"> </w:instrText>
          </w:r>
          <w:r>
            <w:rPr>
              <w:rStyle w:val="12"/>
              <w:rFonts w:ascii="宋体" w:hAnsi="宋体" w:eastAsia="宋体" w:cs="Times New Roman"/>
              <w:color w:val="auto"/>
              <w:sz w:val="21"/>
              <w:szCs w:val="21"/>
              <w:u w:val="none"/>
            </w:rPr>
            <w:instrText xml:space="preserve">PAGEREF _Toc38614671 \h</w:instrText>
          </w:r>
          <w:r>
            <w:rPr>
              <w:rStyle w:val="12"/>
              <w:rFonts w:hint="eastAsia" w:ascii="宋体" w:hAnsi="宋体" w:eastAsia="宋体" w:cs="Times New Roman"/>
              <w:color w:val="auto"/>
              <w:sz w:val="21"/>
              <w:szCs w:val="21"/>
              <w:u w:val="none"/>
            </w:rPr>
            <w:instrText xml:space="preserve"> </w:instrText>
          </w:r>
          <w:r>
            <w:rPr>
              <w:rStyle w:val="12"/>
              <w:rFonts w:hint="eastAsia" w:ascii="宋体" w:hAnsi="宋体" w:eastAsia="宋体" w:cs="Times New Roman"/>
              <w:color w:val="auto"/>
              <w:sz w:val="21"/>
              <w:szCs w:val="21"/>
              <w:u w:val="none"/>
            </w:rPr>
            <w:fldChar w:fldCharType="separate"/>
          </w:r>
          <w:r>
            <w:rPr>
              <w:rStyle w:val="12"/>
              <w:rFonts w:ascii="宋体" w:hAnsi="宋体" w:eastAsia="宋体" w:cs="Times New Roman"/>
              <w:color w:val="auto"/>
              <w:sz w:val="21"/>
              <w:szCs w:val="21"/>
              <w:u w:val="none"/>
            </w:rPr>
            <w:t>15</w:t>
          </w:r>
          <w:r>
            <w:rPr>
              <w:rStyle w:val="12"/>
              <w:rFonts w:hint="eastAsia" w:ascii="宋体" w:hAnsi="宋体" w:eastAsia="宋体" w:cs="Times New Roman"/>
              <w:color w:val="auto"/>
              <w:sz w:val="21"/>
              <w:szCs w:val="21"/>
              <w:u w:val="none"/>
            </w:rPr>
            <w:fldChar w:fldCharType="end"/>
          </w:r>
          <w:r>
            <w:rPr>
              <w:rStyle w:val="12"/>
              <w:rFonts w:hint="eastAsia" w:ascii="宋体" w:hAnsi="宋体" w:eastAsia="宋体" w:cs="Times New Roman"/>
              <w:color w:val="auto"/>
              <w:sz w:val="21"/>
              <w:szCs w:val="21"/>
              <w:u w:val="none"/>
            </w:rPr>
            <w:fldChar w:fldCharType="end"/>
          </w:r>
        </w:p>
        <w:p>
          <w:pPr>
            <w:pStyle w:val="9"/>
            <w:tabs>
              <w:tab w:val="right" w:leader="dot" w:pos="8296"/>
            </w:tabs>
            <w:spacing w:line="240" w:lineRule="auto"/>
            <w:ind w:left="0" w:leftChars="0" w:firstLine="420" w:firstLineChars="200"/>
            <w:rPr>
              <w:rStyle w:val="12"/>
              <w:rFonts w:ascii="宋体" w:hAnsi="宋体" w:eastAsia="宋体" w:cs="Times New Roman"/>
              <w:color w:val="auto"/>
              <w:sz w:val="21"/>
              <w:szCs w:val="21"/>
              <w:u w:val="none"/>
            </w:rPr>
          </w:pPr>
          <w:r>
            <w:rPr>
              <w:sz w:val="21"/>
              <w:szCs w:val="21"/>
            </w:rPr>
            <w:fldChar w:fldCharType="begin"/>
          </w:r>
          <w:r>
            <w:rPr>
              <w:sz w:val="21"/>
              <w:szCs w:val="21"/>
            </w:rPr>
            <w:instrText xml:space="preserve"> HYPERLINK \l "_Toc38614672" </w:instrText>
          </w:r>
          <w:r>
            <w:rPr>
              <w:sz w:val="21"/>
              <w:szCs w:val="21"/>
            </w:rPr>
            <w:fldChar w:fldCharType="separate"/>
          </w:r>
          <w:r>
            <w:rPr>
              <w:rStyle w:val="12"/>
              <w:rFonts w:hint="eastAsia" w:ascii="宋体" w:hAnsi="宋体" w:eastAsia="宋体" w:cs="Times New Roman"/>
              <w:color w:val="auto"/>
              <w:sz w:val="21"/>
              <w:szCs w:val="21"/>
              <w:u w:val="none"/>
            </w:rPr>
            <w:t>探索新形势下中外合作办学人才培养的新路径</w:t>
          </w:r>
          <w:r>
            <w:rPr>
              <w:rStyle w:val="12"/>
              <w:rFonts w:hint="eastAsia" w:ascii="宋体" w:hAnsi="宋体" w:eastAsia="宋体" w:cs="Times New Roman"/>
              <w:color w:val="auto"/>
              <w:sz w:val="21"/>
              <w:szCs w:val="21"/>
              <w:u w:val="none"/>
            </w:rPr>
            <w:tab/>
          </w:r>
          <w:r>
            <w:rPr>
              <w:rStyle w:val="12"/>
              <w:rFonts w:hint="eastAsia" w:ascii="宋体" w:hAnsi="宋体" w:eastAsia="宋体" w:cs="Times New Roman"/>
              <w:color w:val="auto"/>
              <w:sz w:val="21"/>
              <w:szCs w:val="21"/>
              <w:u w:val="none"/>
            </w:rPr>
            <w:fldChar w:fldCharType="begin"/>
          </w:r>
          <w:r>
            <w:rPr>
              <w:rStyle w:val="12"/>
              <w:rFonts w:hint="eastAsia" w:ascii="宋体" w:hAnsi="宋体" w:eastAsia="宋体" w:cs="Times New Roman"/>
              <w:color w:val="auto"/>
              <w:sz w:val="21"/>
              <w:szCs w:val="21"/>
              <w:u w:val="none"/>
            </w:rPr>
            <w:instrText xml:space="preserve"> </w:instrText>
          </w:r>
          <w:r>
            <w:rPr>
              <w:rStyle w:val="12"/>
              <w:rFonts w:ascii="宋体" w:hAnsi="宋体" w:eastAsia="宋体" w:cs="Times New Roman"/>
              <w:color w:val="auto"/>
              <w:sz w:val="21"/>
              <w:szCs w:val="21"/>
              <w:u w:val="none"/>
            </w:rPr>
            <w:instrText xml:space="preserve">PAGEREF _Toc38614672 \h</w:instrText>
          </w:r>
          <w:r>
            <w:rPr>
              <w:rStyle w:val="12"/>
              <w:rFonts w:hint="eastAsia" w:ascii="宋体" w:hAnsi="宋体" w:eastAsia="宋体" w:cs="Times New Roman"/>
              <w:color w:val="auto"/>
              <w:sz w:val="21"/>
              <w:szCs w:val="21"/>
              <w:u w:val="none"/>
            </w:rPr>
            <w:instrText xml:space="preserve"> </w:instrText>
          </w:r>
          <w:r>
            <w:rPr>
              <w:rStyle w:val="12"/>
              <w:rFonts w:hint="eastAsia" w:ascii="宋体" w:hAnsi="宋体" w:eastAsia="宋体" w:cs="Times New Roman"/>
              <w:color w:val="auto"/>
              <w:sz w:val="21"/>
              <w:szCs w:val="21"/>
              <w:u w:val="none"/>
            </w:rPr>
            <w:fldChar w:fldCharType="separate"/>
          </w:r>
          <w:r>
            <w:rPr>
              <w:rStyle w:val="12"/>
              <w:rFonts w:ascii="宋体" w:hAnsi="宋体" w:eastAsia="宋体" w:cs="Times New Roman"/>
              <w:color w:val="auto"/>
              <w:sz w:val="21"/>
              <w:szCs w:val="21"/>
              <w:u w:val="none"/>
            </w:rPr>
            <w:t>17</w:t>
          </w:r>
          <w:r>
            <w:rPr>
              <w:rStyle w:val="12"/>
              <w:rFonts w:hint="eastAsia" w:ascii="宋体" w:hAnsi="宋体" w:eastAsia="宋体" w:cs="Times New Roman"/>
              <w:color w:val="auto"/>
              <w:sz w:val="21"/>
              <w:szCs w:val="21"/>
              <w:u w:val="none"/>
            </w:rPr>
            <w:fldChar w:fldCharType="end"/>
          </w:r>
          <w:r>
            <w:rPr>
              <w:rStyle w:val="12"/>
              <w:rFonts w:hint="eastAsia" w:ascii="宋体" w:hAnsi="宋体" w:eastAsia="宋体" w:cs="Times New Roman"/>
              <w:color w:val="auto"/>
              <w:sz w:val="21"/>
              <w:szCs w:val="21"/>
              <w:u w:val="none"/>
            </w:rPr>
            <w:fldChar w:fldCharType="end"/>
          </w:r>
        </w:p>
        <w:p>
          <w:pPr>
            <w:pStyle w:val="9"/>
            <w:tabs>
              <w:tab w:val="right" w:leader="dot" w:pos="8296"/>
            </w:tabs>
            <w:spacing w:line="240" w:lineRule="auto"/>
            <w:ind w:left="0" w:leftChars="0" w:firstLine="420" w:firstLineChars="200"/>
            <w:rPr>
              <w:rStyle w:val="12"/>
              <w:rFonts w:ascii="宋体" w:hAnsi="宋体" w:eastAsia="宋体" w:cs="Times New Roman"/>
              <w:color w:val="auto"/>
              <w:sz w:val="21"/>
              <w:szCs w:val="21"/>
              <w:u w:val="none"/>
            </w:rPr>
          </w:pPr>
          <w:r>
            <w:rPr>
              <w:sz w:val="21"/>
              <w:szCs w:val="21"/>
            </w:rPr>
            <w:fldChar w:fldCharType="begin"/>
          </w:r>
          <w:r>
            <w:rPr>
              <w:sz w:val="21"/>
              <w:szCs w:val="21"/>
            </w:rPr>
            <w:instrText xml:space="preserve"> HYPERLINK \l "_Toc38614673" </w:instrText>
          </w:r>
          <w:r>
            <w:rPr>
              <w:sz w:val="21"/>
              <w:szCs w:val="21"/>
            </w:rPr>
            <w:fldChar w:fldCharType="separate"/>
          </w:r>
          <w:r>
            <w:rPr>
              <w:rStyle w:val="12"/>
              <w:rFonts w:hint="eastAsia" w:ascii="宋体" w:hAnsi="宋体" w:eastAsia="宋体" w:cs="Times New Roman"/>
              <w:color w:val="auto"/>
              <w:sz w:val="21"/>
              <w:szCs w:val="21"/>
              <w:u w:val="none"/>
            </w:rPr>
            <w:t>一流应用型本科建设中的资源保障</w:t>
          </w:r>
          <w:r>
            <w:rPr>
              <w:rStyle w:val="12"/>
              <w:rFonts w:hint="eastAsia" w:ascii="宋体" w:hAnsi="宋体" w:eastAsia="宋体" w:cs="Times New Roman"/>
              <w:color w:val="auto"/>
              <w:sz w:val="21"/>
              <w:szCs w:val="21"/>
              <w:u w:val="none"/>
            </w:rPr>
            <w:tab/>
          </w:r>
          <w:r>
            <w:rPr>
              <w:rStyle w:val="12"/>
              <w:rFonts w:hint="eastAsia" w:ascii="宋体" w:hAnsi="宋体" w:eastAsia="宋体" w:cs="Times New Roman"/>
              <w:color w:val="auto"/>
              <w:sz w:val="21"/>
              <w:szCs w:val="21"/>
              <w:u w:val="none"/>
            </w:rPr>
            <w:fldChar w:fldCharType="begin"/>
          </w:r>
          <w:r>
            <w:rPr>
              <w:rStyle w:val="12"/>
              <w:rFonts w:hint="eastAsia" w:ascii="宋体" w:hAnsi="宋体" w:eastAsia="宋体" w:cs="Times New Roman"/>
              <w:color w:val="auto"/>
              <w:sz w:val="21"/>
              <w:szCs w:val="21"/>
              <w:u w:val="none"/>
            </w:rPr>
            <w:instrText xml:space="preserve"> </w:instrText>
          </w:r>
          <w:r>
            <w:rPr>
              <w:rStyle w:val="12"/>
              <w:rFonts w:ascii="宋体" w:hAnsi="宋体" w:eastAsia="宋体" w:cs="Times New Roman"/>
              <w:color w:val="auto"/>
              <w:sz w:val="21"/>
              <w:szCs w:val="21"/>
              <w:u w:val="none"/>
            </w:rPr>
            <w:instrText xml:space="preserve">PAGEREF _Toc38614673 \h</w:instrText>
          </w:r>
          <w:r>
            <w:rPr>
              <w:rStyle w:val="12"/>
              <w:rFonts w:hint="eastAsia" w:ascii="宋体" w:hAnsi="宋体" w:eastAsia="宋体" w:cs="Times New Roman"/>
              <w:color w:val="auto"/>
              <w:sz w:val="21"/>
              <w:szCs w:val="21"/>
              <w:u w:val="none"/>
            </w:rPr>
            <w:instrText xml:space="preserve"> </w:instrText>
          </w:r>
          <w:r>
            <w:rPr>
              <w:rStyle w:val="12"/>
              <w:rFonts w:hint="eastAsia" w:ascii="宋体" w:hAnsi="宋体" w:eastAsia="宋体" w:cs="Times New Roman"/>
              <w:color w:val="auto"/>
              <w:sz w:val="21"/>
              <w:szCs w:val="21"/>
              <w:u w:val="none"/>
            </w:rPr>
            <w:fldChar w:fldCharType="separate"/>
          </w:r>
          <w:r>
            <w:rPr>
              <w:rStyle w:val="12"/>
              <w:rFonts w:ascii="宋体" w:hAnsi="宋体" w:eastAsia="宋体" w:cs="Times New Roman"/>
              <w:color w:val="auto"/>
              <w:sz w:val="21"/>
              <w:szCs w:val="21"/>
              <w:u w:val="none"/>
            </w:rPr>
            <w:t>19</w:t>
          </w:r>
          <w:r>
            <w:rPr>
              <w:rStyle w:val="12"/>
              <w:rFonts w:hint="eastAsia" w:ascii="宋体" w:hAnsi="宋体" w:eastAsia="宋体" w:cs="Times New Roman"/>
              <w:color w:val="auto"/>
              <w:sz w:val="21"/>
              <w:szCs w:val="21"/>
              <w:u w:val="none"/>
            </w:rPr>
            <w:fldChar w:fldCharType="end"/>
          </w:r>
          <w:r>
            <w:rPr>
              <w:rStyle w:val="12"/>
              <w:rFonts w:hint="eastAsia" w:ascii="宋体" w:hAnsi="宋体" w:eastAsia="宋体" w:cs="Times New Roman"/>
              <w:color w:val="auto"/>
              <w:sz w:val="21"/>
              <w:szCs w:val="21"/>
              <w:u w:val="none"/>
            </w:rPr>
            <w:fldChar w:fldCharType="end"/>
          </w:r>
        </w:p>
        <w:p>
          <w:pPr>
            <w:pStyle w:val="9"/>
            <w:tabs>
              <w:tab w:val="right" w:leader="dot" w:pos="8296"/>
            </w:tabs>
            <w:spacing w:line="240" w:lineRule="auto"/>
            <w:ind w:left="0" w:leftChars="0" w:firstLine="420" w:firstLineChars="200"/>
            <w:rPr>
              <w:rStyle w:val="12"/>
              <w:rFonts w:ascii="宋体" w:hAnsi="宋体" w:eastAsia="宋体" w:cs="Times New Roman"/>
              <w:color w:val="auto"/>
              <w:sz w:val="21"/>
              <w:szCs w:val="21"/>
              <w:u w:val="none"/>
            </w:rPr>
          </w:pPr>
          <w:r>
            <w:rPr>
              <w:sz w:val="21"/>
              <w:szCs w:val="21"/>
            </w:rPr>
            <w:fldChar w:fldCharType="begin"/>
          </w:r>
          <w:r>
            <w:rPr>
              <w:sz w:val="21"/>
              <w:szCs w:val="21"/>
            </w:rPr>
            <w:instrText xml:space="preserve"> HYPERLINK \l "_Toc38614674" </w:instrText>
          </w:r>
          <w:r>
            <w:rPr>
              <w:sz w:val="21"/>
              <w:szCs w:val="21"/>
            </w:rPr>
            <w:fldChar w:fldCharType="separate"/>
          </w:r>
          <w:r>
            <w:rPr>
              <w:rStyle w:val="12"/>
              <w:rFonts w:hint="eastAsia" w:ascii="宋体" w:hAnsi="宋体" w:eastAsia="宋体" w:cs="Times New Roman"/>
              <w:color w:val="auto"/>
              <w:sz w:val="21"/>
              <w:szCs w:val="21"/>
              <w:u w:val="none"/>
            </w:rPr>
            <w:t>高校“云”授课 如何接“地”气</w:t>
          </w:r>
          <w:r>
            <w:rPr>
              <w:rStyle w:val="12"/>
              <w:rFonts w:hint="eastAsia" w:ascii="宋体" w:hAnsi="宋体" w:eastAsia="宋体" w:cs="Times New Roman"/>
              <w:color w:val="auto"/>
              <w:sz w:val="21"/>
              <w:szCs w:val="21"/>
              <w:u w:val="none"/>
            </w:rPr>
            <w:tab/>
          </w:r>
          <w:r>
            <w:rPr>
              <w:rStyle w:val="12"/>
              <w:rFonts w:hint="eastAsia" w:ascii="宋体" w:hAnsi="宋体" w:eastAsia="宋体" w:cs="Times New Roman"/>
              <w:color w:val="auto"/>
              <w:sz w:val="21"/>
              <w:szCs w:val="21"/>
              <w:u w:val="none"/>
            </w:rPr>
            <w:fldChar w:fldCharType="begin"/>
          </w:r>
          <w:r>
            <w:rPr>
              <w:rStyle w:val="12"/>
              <w:rFonts w:hint="eastAsia" w:ascii="宋体" w:hAnsi="宋体" w:eastAsia="宋体" w:cs="Times New Roman"/>
              <w:color w:val="auto"/>
              <w:sz w:val="21"/>
              <w:szCs w:val="21"/>
              <w:u w:val="none"/>
            </w:rPr>
            <w:instrText xml:space="preserve"> </w:instrText>
          </w:r>
          <w:r>
            <w:rPr>
              <w:rStyle w:val="12"/>
              <w:rFonts w:ascii="宋体" w:hAnsi="宋体" w:eastAsia="宋体" w:cs="Times New Roman"/>
              <w:color w:val="auto"/>
              <w:sz w:val="21"/>
              <w:szCs w:val="21"/>
              <w:u w:val="none"/>
            </w:rPr>
            <w:instrText xml:space="preserve">PAGEREF _Toc38614674 \h</w:instrText>
          </w:r>
          <w:r>
            <w:rPr>
              <w:rStyle w:val="12"/>
              <w:rFonts w:hint="eastAsia" w:ascii="宋体" w:hAnsi="宋体" w:eastAsia="宋体" w:cs="Times New Roman"/>
              <w:color w:val="auto"/>
              <w:sz w:val="21"/>
              <w:szCs w:val="21"/>
              <w:u w:val="none"/>
            </w:rPr>
            <w:instrText xml:space="preserve"> </w:instrText>
          </w:r>
          <w:r>
            <w:rPr>
              <w:rStyle w:val="12"/>
              <w:rFonts w:hint="eastAsia" w:ascii="宋体" w:hAnsi="宋体" w:eastAsia="宋体" w:cs="Times New Roman"/>
              <w:color w:val="auto"/>
              <w:sz w:val="21"/>
              <w:szCs w:val="21"/>
              <w:u w:val="none"/>
            </w:rPr>
            <w:fldChar w:fldCharType="separate"/>
          </w:r>
          <w:r>
            <w:rPr>
              <w:rStyle w:val="12"/>
              <w:rFonts w:ascii="宋体" w:hAnsi="宋体" w:eastAsia="宋体" w:cs="Times New Roman"/>
              <w:color w:val="auto"/>
              <w:sz w:val="21"/>
              <w:szCs w:val="21"/>
              <w:u w:val="none"/>
            </w:rPr>
            <w:t>22</w:t>
          </w:r>
          <w:r>
            <w:rPr>
              <w:rStyle w:val="12"/>
              <w:rFonts w:hint="eastAsia" w:ascii="宋体" w:hAnsi="宋体" w:eastAsia="宋体" w:cs="Times New Roman"/>
              <w:color w:val="auto"/>
              <w:sz w:val="21"/>
              <w:szCs w:val="21"/>
              <w:u w:val="none"/>
            </w:rPr>
            <w:fldChar w:fldCharType="end"/>
          </w:r>
          <w:r>
            <w:rPr>
              <w:rStyle w:val="12"/>
              <w:rFonts w:hint="eastAsia" w:ascii="宋体" w:hAnsi="宋体" w:eastAsia="宋体" w:cs="Times New Roman"/>
              <w:color w:val="auto"/>
              <w:sz w:val="21"/>
              <w:szCs w:val="21"/>
              <w:u w:val="none"/>
            </w:rPr>
            <w:fldChar w:fldCharType="end"/>
          </w:r>
        </w:p>
        <w:p>
          <w:pPr>
            <w:pStyle w:val="9"/>
            <w:tabs>
              <w:tab w:val="right" w:leader="dot" w:pos="8296"/>
            </w:tabs>
            <w:spacing w:line="240" w:lineRule="auto"/>
            <w:ind w:left="0" w:leftChars="0"/>
            <w:rPr>
              <w:rStyle w:val="12"/>
              <w:rFonts w:ascii="宋体" w:hAnsi="宋体" w:eastAsia="宋体" w:cs="Times New Roman"/>
              <w:b/>
              <w:color w:val="auto"/>
              <w:sz w:val="21"/>
              <w:szCs w:val="21"/>
              <w:u w:val="none"/>
            </w:rPr>
          </w:pPr>
          <w:r>
            <w:rPr>
              <w:rStyle w:val="12"/>
              <w:rFonts w:hint="eastAsia" w:ascii="宋体" w:hAnsi="宋体" w:eastAsia="宋体" w:cs="Times New Roman"/>
              <w:b/>
              <w:color w:val="auto"/>
              <w:sz w:val="21"/>
              <w:szCs w:val="21"/>
              <w:u w:val="none"/>
            </w:rPr>
            <w:t>他山之石</w:t>
          </w:r>
        </w:p>
        <w:p>
          <w:pPr>
            <w:pStyle w:val="9"/>
            <w:tabs>
              <w:tab w:val="right" w:leader="dot" w:pos="8296"/>
            </w:tabs>
            <w:spacing w:line="240" w:lineRule="auto"/>
            <w:ind w:left="0" w:leftChars="0" w:firstLine="420" w:firstLineChars="200"/>
            <w:rPr>
              <w:rStyle w:val="12"/>
              <w:rFonts w:ascii="宋体" w:hAnsi="宋体" w:eastAsia="宋体" w:cs="Times New Roman"/>
              <w:color w:val="auto"/>
              <w:sz w:val="21"/>
              <w:szCs w:val="21"/>
              <w:u w:val="none"/>
            </w:rPr>
          </w:pPr>
          <w:r>
            <w:rPr>
              <w:sz w:val="21"/>
              <w:szCs w:val="21"/>
            </w:rPr>
            <w:fldChar w:fldCharType="begin"/>
          </w:r>
          <w:r>
            <w:rPr>
              <w:sz w:val="21"/>
              <w:szCs w:val="21"/>
            </w:rPr>
            <w:instrText xml:space="preserve"> HYPERLINK \l "_Toc38614675" </w:instrText>
          </w:r>
          <w:r>
            <w:rPr>
              <w:sz w:val="21"/>
              <w:szCs w:val="21"/>
            </w:rPr>
            <w:fldChar w:fldCharType="separate"/>
          </w:r>
          <w:r>
            <w:rPr>
              <w:rStyle w:val="12"/>
              <w:rFonts w:hint="eastAsia" w:ascii="宋体" w:hAnsi="宋体" w:eastAsia="宋体" w:cs="Times New Roman"/>
              <w:color w:val="auto"/>
              <w:sz w:val="21"/>
              <w:szCs w:val="21"/>
              <w:u w:val="none"/>
            </w:rPr>
            <w:t>河南科技大学：产学研融合发展为“新引擎”注入新动能</w:t>
          </w:r>
          <w:r>
            <w:rPr>
              <w:rStyle w:val="12"/>
              <w:rFonts w:hint="eastAsia" w:ascii="宋体" w:hAnsi="宋体" w:eastAsia="宋体" w:cs="Times New Roman"/>
              <w:color w:val="auto"/>
              <w:sz w:val="21"/>
              <w:szCs w:val="21"/>
              <w:u w:val="none"/>
            </w:rPr>
            <w:tab/>
          </w:r>
          <w:r>
            <w:rPr>
              <w:rStyle w:val="12"/>
              <w:rFonts w:hint="eastAsia" w:ascii="宋体" w:hAnsi="宋体" w:eastAsia="宋体" w:cs="Times New Roman"/>
              <w:color w:val="auto"/>
              <w:sz w:val="21"/>
              <w:szCs w:val="21"/>
              <w:u w:val="none"/>
            </w:rPr>
            <w:fldChar w:fldCharType="begin"/>
          </w:r>
          <w:r>
            <w:rPr>
              <w:rStyle w:val="12"/>
              <w:rFonts w:hint="eastAsia" w:ascii="宋体" w:hAnsi="宋体" w:eastAsia="宋体" w:cs="Times New Roman"/>
              <w:color w:val="auto"/>
              <w:sz w:val="21"/>
              <w:szCs w:val="21"/>
              <w:u w:val="none"/>
            </w:rPr>
            <w:instrText xml:space="preserve"> </w:instrText>
          </w:r>
          <w:r>
            <w:rPr>
              <w:rStyle w:val="12"/>
              <w:rFonts w:ascii="宋体" w:hAnsi="宋体" w:eastAsia="宋体" w:cs="Times New Roman"/>
              <w:color w:val="auto"/>
              <w:sz w:val="21"/>
              <w:szCs w:val="21"/>
              <w:u w:val="none"/>
            </w:rPr>
            <w:instrText xml:space="preserve">PAGEREF _Toc38614675 \h</w:instrText>
          </w:r>
          <w:r>
            <w:rPr>
              <w:rStyle w:val="12"/>
              <w:rFonts w:hint="eastAsia" w:ascii="宋体" w:hAnsi="宋体" w:eastAsia="宋体" w:cs="Times New Roman"/>
              <w:color w:val="auto"/>
              <w:sz w:val="21"/>
              <w:szCs w:val="21"/>
              <w:u w:val="none"/>
            </w:rPr>
            <w:instrText xml:space="preserve"> </w:instrText>
          </w:r>
          <w:r>
            <w:rPr>
              <w:rStyle w:val="12"/>
              <w:rFonts w:hint="eastAsia" w:ascii="宋体" w:hAnsi="宋体" w:eastAsia="宋体" w:cs="Times New Roman"/>
              <w:color w:val="auto"/>
              <w:sz w:val="21"/>
              <w:szCs w:val="21"/>
              <w:u w:val="none"/>
            </w:rPr>
            <w:fldChar w:fldCharType="separate"/>
          </w:r>
          <w:r>
            <w:rPr>
              <w:rStyle w:val="12"/>
              <w:rFonts w:ascii="宋体" w:hAnsi="宋体" w:eastAsia="宋体" w:cs="Times New Roman"/>
              <w:color w:val="auto"/>
              <w:sz w:val="21"/>
              <w:szCs w:val="21"/>
              <w:u w:val="none"/>
            </w:rPr>
            <w:t>24</w:t>
          </w:r>
          <w:r>
            <w:rPr>
              <w:rStyle w:val="12"/>
              <w:rFonts w:hint="eastAsia" w:ascii="宋体" w:hAnsi="宋体" w:eastAsia="宋体" w:cs="Times New Roman"/>
              <w:color w:val="auto"/>
              <w:sz w:val="21"/>
              <w:szCs w:val="21"/>
              <w:u w:val="none"/>
            </w:rPr>
            <w:fldChar w:fldCharType="end"/>
          </w:r>
          <w:r>
            <w:rPr>
              <w:rStyle w:val="12"/>
              <w:rFonts w:hint="eastAsia" w:ascii="宋体" w:hAnsi="宋体" w:eastAsia="宋体" w:cs="Times New Roman"/>
              <w:color w:val="auto"/>
              <w:sz w:val="21"/>
              <w:szCs w:val="21"/>
              <w:u w:val="none"/>
            </w:rPr>
            <w:fldChar w:fldCharType="end"/>
          </w:r>
        </w:p>
        <w:p>
          <w:pPr>
            <w:pStyle w:val="9"/>
            <w:tabs>
              <w:tab w:val="right" w:leader="dot" w:pos="8296"/>
            </w:tabs>
            <w:spacing w:line="240" w:lineRule="auto"/>
            <w:ind w:left="0" w:leftChars="0"/>
            <w:rPr>
              <w:rStyle w:val="12"/>
              <w:rFonts w:ascii="宋体" w:hAnsi="宋体" w:eastAsia="宋体" w:cs="Times New Roman"/>
              <w:b/>
              <w:color w:val="auto"/>
              <w:sz w:val="21"/>
              <w:szCs w:val="21"/>
              <w:u w:val="none"/>
            </w:rPr>
          </w:pPr>
          <w:r>
            <w:rPr>
              <w:rStyle w:val="12"/>
              <w:rFonts w:hint="eastAsia" w:ascii="宋体" w:hAnsi="宋体" w:eastAsia="宋体" w:cs="Times New Roman"/>
              <w:b/>
              <w:color w:val="auto"/>
              <w:sz w:val="21"/>
              <w:szCs w:val="21"/>
              <w:u w:val="none"/>
            </w:rPr>
            <w:t>发展改革</w:t>
          </w:r>
        </w:p>
        <w:p>
          <w:pPr>
            <w:pStyle w:val="9"/>
            <w:tabs>
              <w:tab w:val="right" w:leader="dot" w:pos="8296"/>
            </w:tabs>
            <w:spacing w:line="240" w:lineRule="auto"/>
            <w:ind w:left="0" w:leftChars="0" w:firstLine="420" w:firstLineChars="200"/>
            <w:rPr>
              <w:rStyle w:val="12"/>
              <w:rFonts w:ascii="宋体" w:hAnsi="宋体" w:eastAsia="宋体" w:cs="Times New Roman"/>
              <w:color w:val="auto"/>
              <w:sz w:val="21"/>
              <w:szCs w:val="21"/>
              <w:u w:val="none"/>
            </w:rPr>
          </w:pPr>
          <w:r>
            <w:rPr>
              <w:sz w:val="21"/>
              <w:szCs w:val="21"/>
            </w:rPr>
            <w:fldChar w:fldCharType="begin"/>
          </w:r>
          <w:r>
            <w:rPr>
              <w:sz w:val="21"/>
              <w:szCs w:val="21"/>
            </w:rPr>
            <w:instrText xml:space="preserve"> HYPERLINK \l "_Toc38614676" </w:instrText>
          </w:r>
          <w:r>
            <w:rPr>
              <w:sz w:val="21"/>
              <w:szCs w:val="21"/>
            </w:rPr>
            <w:fldChar w:fldCharType="separate"/>
          </w:r>
          <w:r>
            <w:rPr>
              <w:rStyle w:val="12"/>
              <w:rFonts w:hint="eastAsia" w:ascii="宋体" w:hAnsi="宋体" w:eastAsia="宋体" w:cs="Times New Roman"/>
              <w:color w:val="auto"/>
              <w:sz w:val="21"/>
              <w:szCs w:val="21"/>
              <w:u w:val="none"/>
            </w:rPr>
            <w:t>深化本科教育教学评估监测改革</w:t>
          </w:r>
          <w:r>
            <w:rPr>
              <w:rStyle w:val="12"/>
              <w:rFonts w:hint="eastAsia" w:ascii="宋体" w:hAnsi="宋体" w:eastAsia="宋体" w:cs="Times New Roman"/>
              <w:color w:val="auto"/>
              <w:sz w:val="21"/>
              <w:szCs w:val="21"/>
              <w:u w:val="none"/>
            </w:rPr>
            <w:tab/>
          </w:r>
          <w:r>
            <w:rPr>
              <w:rStyle w:val="12"/>
              <w:rFonts w:hint="eastAsia" w:ascii="宋体" w:hAnsi="宋体" w:eastAsia="宋体" w:cs="Times New Roman"/>
              <w:color w:val="auto"/>
              <w:sz w:val="21"/>
              <w:szCs w:val="21"/>
              <w:u w:val="none"/>
            </w:rPr>
            <w:fldChar w:fldCharType="begin"/>
          </w:r>
          <w:r>
            <w:rPr>
              <w:rStyle w:val="12"/>
              <w:rFonts w:hint="eastAsia" w:ascii="宋体" w:hAnsi="宋体" w:eastAsia="宋体" w:cs="Times New Roman"/>
              <w:color w:val="auto"/>
              <w:sz w:val="21"/>
              <w:szCs w:val="21"/>
              <w:u w:val="none"/>
            </w:rPr>
            <w:instrText xml:space="preserve"> </w:instrText>
          </w:r>
          <w:r>
            <w:rPr>
              <w:rStyle w:val="12"/>
              <w:rFonts w:ascii="宋体" w:hAnsi="宋体" w:eastAsia="宋体" w:cs="Times New Roman"/>
              <w:color w:val="auto"/>
              <w:sz w:val="21"/>
              <w:szCs w:val="21"/>
              <w:u w:val="none"/>
            </w:rPr>
            <w:instrText xml:space="preserve">PAGEREF _Toc38614676 \h</w:instrText>
          </w:r>
          <w:r>
            <w:rPr>
              <w:rStyle w:val="12"/>
              <w:rFonts w:hint="eastAsia" w:ascii="宋体" w:hAnsi="宋体" w:eastAsia="宋体" w:cs="Times New Roman"/>
              <w:color w:val="auto"/>
              <w:sz w:val="21"/>
              <w:szCs w:val="21"/>
              <w:u w:val="none"/>
            </w:rPr>
            <w:instrText xml:space="preserve"> </w:instrText>
          </w:r>
          <w:r>
            <w:rPr>
              <w:rStyle w:val="12"/>
              <w:rFonts w:hint="eastAsia" w:ascii="宋体" w:hAnsi="宋体" w:eastAsia="宋体" w:cs="Times New Roman"/>
              <w:color w:val="auto"/>
              <w:sz w:val="21"/>
              <w:szCs w:val="21"/>
              <w:u w:val="none"/>
            </w:rPr>
            <w:fldChar w:fldCharType="separate"/>
          </w:r>
          <w:r>
            <w:rPr>
              <w:rStyle w:val="12"/>
              <w:rFonts w:ascii="宋体" w:hAnsi="宋体" w:eastAsia="宋体" w:cs="Times New Roman"/>
              <w:color w:val="auto"/>
              <w:sz w:val="21"/>
              <w:szCs w:val="21"/>
              <w:u w:val="none"/>
            </w:rPr>
            <w:t>28</w:t>
          </w:r>
          <w:r>
            <w:rPr>
              <w:rStyle w:val="12"/>
              <w:rFonts w:hint="eastAsia" w:ascii="宋体" w:hAnsi="宋体" w:eastAsia="宋体" w:cs="Times New Roman"/>
              <w:color w:val="auto"/>
              <w:sz w:val="21"/>
              <w:szCs w:val="21"/>
              <w:u w:val="none"/>
            </w:rPr>
            <w:fldChar w:fldCharType="end"/>
          </w:r>
          <w:r>
            <w:rPr>
              <w:rStyle w:val="12"/>
              <w:rFonts w:hint="eastAsia" w:ascii="宋体" w:hAnsi="宋体" w:eastAsia="宋体" w:cs="Times New Roman"/>
              <w:color w:val="auto"/>
              <w:sz w:val="21"/>
              <w:szCs w:val="21"/>
              <w:u w:val="none"/>
            </w:rPr>
            <w:fldChar w:fldCharType="end"/>
          </w:r>
        </w:p>
        <w:p>
          <w:pPr>
            <w:pStyle w:val="9"/>
            <w:tabs>
              <w:tab w:val="right" w:leader="dot" w:pos="8296"/>
            </w:tabs>
            <w:spacing w:line="240" w:lineRule="auto"/>
            <w:ind w:left="0" w:leftChars="0"/>
            <w:rPr>
              <w:rStyle w:val="12"/>
              <w:rFonts w:ascii="宋体" w:hAnsi="宋体" w:eastAsia="宋体" w:cs="Times New Roman"/>
              <w:b/>
              <w:color w:val="auto"/>
              <w:sz w:val="21"/>
              <w:szCs w:val="21"/>
              <w:u w:val="none"/>
            </w:rPr>
          </w:pPr>
          <w:r>
            <w:rPr>
              <w:rStyle w:val="12"/>
              <w:rFonts w:hint="eastAsia" w:ascii="宋体" w:hAnsi="宋体" w:eastAsia="宋体" w:cs="Times New Roman"/>
              <w:b/>
              <w:color w:val="auto"/>
              <w:sz w:val="21"/>
              <w:szCs w:val="21"/>
              <w:u w:val="none"/>
            </w:rPr>
            <w:t>高教视点</w:t>
          </w:r>
        </w:p>
        <w:p>
          <w:pPr>
            <w:pStyle w:val="9"/>
            <w:tabs>
              <w:tab w:val="right" w:leader="dot" w:pos="8296"/>
            </w:tabs>
            <w:spacing w:line="240" w:lineRule="auto"/>
            <w:ind w:left="0" w:leftChars="0" w:firstLine="420" w:firstLineChars="200"/>
            <w:rPr>
              <w:rStyle w:val="12"/>
              <w:rFonts w:ascii="宋体" w:hAnsi="宋体" w:eastAsia="宋体" w:cs="Times New Roman"/>
              <w:color w:val="auto"/>
              <w:sz w:val="21"/>
              <w:szCs w:val="21"/>
              <w:u w:val="none"/>
            </w:rPr>
          </w:pPr>
          <w:r>
            <w:rPr>
              <w:sz w:val="21"/>
              <w:szCs w:val="21"/>
            </w:rPr>
            <w:fldChar w:fldCharType="begin"/>
          </w:r>
          <w:r>
            <w:rPr>
              <w:sz w:val="21"/>
              <w:szCs w:val="21"/>
            </w:rPr>
            <w:instrText xml:space="preserve"> HYPERLINK \l "_Toc38614677" </w:instrText>
          </w:r>
          <w:r>
            <w:rPr>
              <w:sz w:val="21"/>
              <w:szCs w:val="21"/>
            </w:rPr>
            <w:fldChar w:fldCharType="separate"/>
          </w:r>
          <w:r>
            <w:rPr>
              <w:rStyle w:val="12"/>
              <w:rFonts w:hint="eastAsia" w:ascii="宋体" w:hAnsi="宋体" w:eastAsia="宋体" w:cs="Times New Roman"/>
              <w:color w:val="auto"/>
              <w:sz w:val="21"/>
              <w:szCs w:val="21"/>
              <w:u w:val="none"/>
            </w:rPr>
            <w:t>从效率与公平视角看高教资源区域布局</w:t>
          </w:r>
          <w:r>
            <w:rPr>
              <w:rStyle w:val="12"/>
              <w:rFonts w:hint="eastAsia" w:ascii="宋体" w:hAnsi="宋体" w:eastAsia="宋体" w:cs="Times New Roman"/>
              <w:color w:val="auto"/>
              <w:sz w:val="21"/>
              <w:szCs w:val="21"/>
              <w:u w:val="none"/>
            </w:rPr>
            <w:tab/>
          </w:r>
          <w:r>
            <w:rPr>
              <w:rStyle w:val="12"/>
              <w:rFonts w:hint="eastAsia" w:ascii="宋体" w:hAnsi="宋体" w:eastAsia="宋体" w:cs="Times New Roman"/>
              <w:color w:val="auto"/>
              <w:sz w:val="21"/>
              <w:szCs w:val="21"/>
              <w:u w:val="none"/>
            </w:rPr>
            <w:fldChar w:fldCharType="begin"/>
          </w:r>
          <w:r>
            <w:rPr>
              <w:rStyle w:val="12"/>
              <w:rFonts w:hint="eastAsia" w:ascii="宋体" w:hAnsi="宋体" w:eastAsia="宋体" w:cs="Times New Roman"/>
              <w:color w:val="auto"/>
              <w:sz w:val="21"/>
              <w:szCs w:val="21"/>
              <w:u w:val="none"/>
            </w:rPr>
            <w:instrText xml:space="preserve"> </w:instrText>
          </w:r>
          <w:r>
            <w:rPr>
              <w:rStyle w:val="12"/>
              <w:rFonts w:ascii="宋体" w:hAnsi="宋体" w:eastAsia="宋体" w:cs="Times New Roman"/>
              <w:color w:val="auto"/>
              <w:sz w:val="21"/>
              <w:szCs w:val="21"/>
              <w:u w:val="none"/>
            </w:rPr>
            <w:instrText xml:space="preserve">PAGEREF _Toc38614677 \h</w:instrText>
          </w:r>
          <w:r>
            <w:rPr>
              <w:rStyle w:val="12"/>
              <w:rFonts w:hint="eastAsia" w:ascii="宋体" w:hAnsi="宋体" w:eastAsia="宋体" w:cs="Times New Roman"/>
              <w:color w:val="auto"/>
              <w:sz w:val="21"/>
              <w:szCs w:val="21"/>
              <w:u w:val="none"/>
            </w:rPr>
            <w:instrText xml:space="preserve"> </w:instrText>
          </w:r>
          <w:r>
            <w:rPr>
              <w:rStyle w:val="12"/>
              <w:rFonts w:hint="eastAsia" w:ascii="宋体" w:hAnsi="宋体" w:eastAsia="宋体" w:cs="Times New Roman"/>
              <w:color w:val="auto"/>
              <w:sz w:val="21"/>
              <w:szCs w:val="21"/>
              <w:u w:val="none"/>
            </w:rPr>
            <w:fldChar w:fldCharType="separate"/>
          </w:r>
          <w:r>
            <w:rPr>
              <w:rStyle w:val="12"/>
              <w:rFonts w:ascii="宋体" w:hAnsi="宋体" w:eastAsia="宋体" w:cs="Times New Roman"/>
              <w:color w:val="auto"/>
              <w:sz w:val="21"/>
              <w:szCs w:val="21"/>
              <w:u w:val="none"/>
            </w:rPr>
            <w:t>30</w:t>
          </w:r>
          <w:r>
            <w:rPr>
              <w:rStyle w:val="12"/>
              <w:rFonts w:hint="eastAsia" w:ascii="宋体" w:hAnsi="宋体" w:eastAsia="宋体" w:cs="Times New Roman"/>
              <w:color w:val="auto"/>
              <w:sz w:val="21"/>
              <w:szCs w:val="21"/>
              <w:u w:val="none"/>
            </w:rPr>
            <w:fldChar w:fldCharType="end"/>
          </w:r>
          <w:r>
            <w:rPr>
              <w:rStyle w:val="12"/>
              <w:rFonts w:hint="eastAsia" w:ascii="宋体" w:hAnsi="宋体" w:eastAsia="宋体" w:cs="Times New Roman"/>
              <w:color w:val="auto"/>
              <w:sz w:val="21"/>
              <w:szCs w:val="21"/>
              <w:u w:val="none"/>
            </w:rPr>
            <w:fldChar w:fldCharType="end"/>
          </w:r>
        </w:p>
        <w:p>
          <w:pPr>
            <w:tabs>
              <w:tab w:val="left" w:pos="901"/>
            </w:tabs>
            <w:spacing w:line="240" w:lineRule="auto"/>
            <w:rPr>
              <w:sz w:val="21"/>
              <w:szCs w:val="21"/>
            </w:rPr>
          </w:pPr>
          <w:r>
            <w:rPr>
              <w:b/>
              <w:bCs/>
              <w:sz w:val="21"/>
              <w:szCs w:val="21"/>
              <w:lang w:val="zh-CN"/>
            </w:rPr>
            <w:fldChar w:fldCharType="end"/>
          </w:r>
        </w:p>
      </w:sdtContent>
    </w:sdt>
    <w:p>
      <w:pPr>
        <w:spacing w:line="360" w:lineRule="auto"/>
        <w:rPr>
          <w:rFonts w:hint="eastAsia" w:ascii="宋体" w:hAnsi="宋体" w:eastAsia="宋体" w:cs="Times New Roman"/>
          <w:b/>
          <w:sz w:val="30"/>
          <w:szCs w:val="30"/>
        </w:rPr>
      </w:pPr>
    </w:p>
    <w:p>
      <w:pPr>
        <w:spacing w:line="360" w:lineRule="auto"/>
        <w:rPr>
          <w:rFonts w:hint="eastAsia" w:ascii="宋体" w:hAnsi="宋体" w:eastAsia="宋体" w:cs="Times New Roman"/>
          <w:b/>
          <w:sz w:val="30"/>
          <w:szCs w:val="30"/>
        </w:rPr>
      </w:pPr>
    </w:p>
    <w:p>
      <w:pPr>
        <w:spacing w:line="360" w:lineRule="auto"/>
        <w:rPr>
          <w:rFonts w:hint="eastAsia" w:ascii="宋体" w:hAnsi="宋体" w:eastAsia="宋体" w:cs="Times New Roman"/>
          <w:b/>
          <w:sz w:val="30"/>
          <w:szCs w:val="30"/>
        </w:rPr>
      </w:pPr>
    </w:p>
    <w:p>
      <w:pPr>
        <w:spacing w:line="360" w:lineRule="auto"/>
        <w:rPr>
          <w:rFonts w:hint="eastAsia" w:ascii="宋体" w:hAnsi="宋体" w:eastAsia="宋体" w:cs="Times New Roman"/>
          <w:b/>
          <w:sz w:val="30"/>
          <w:szCs w:val="30"/>
        </w:rPr>
      </w:pPr>
    </w:p>
    <w:p>
      <w:pPr>
        <w:spacing w:line="360" w:lineRule="auto"/>
        <w:rPr>
          <w:rFonts w:hint="eastAsia" w:ascii="宋体" w:hAnsi="宋体" w:eastAsia="宋体" w:cs="Times New Roman"/>
          <w:b/>
          <w:sz w:val="30"/>
          <w:szCs w:val="30"/>
        </w:rPr>
      </w:pPr>
    </w:p>
    <w:p>
      <w:pPr>
        <w:spacing w:line="360" w:lineRule="auto"/>
        <w:rPr>
          <w:rFonts w:ascii="宋体" w:hAnsi="宋体" w:eastAsia="宋体" w:cs="Times New Roman"/>
          <w:b/>
          <w:sz w:val="30"/>
          <w:szCs w:val="30"/>
        </w:rPr>
      </w:pPr>
      <w:r>
        <w:rPr>
          <w:rFonts w:hint="eastAsia" w:ascii="宋体" w:hAnsi="宋体" w:eastAsia="宋体" w:cs="Times New Roman"/>
          <w:b/>
          <w:sz w:val="30"/>
          <w:szCs w:val="30"/>
        </w:rPr>
        <w:t>高教信息</w:t>
      </w:r>
    </w:p>
    <w:p>
      <w:pPr>
        <w:pStyle w:val="3"/>
        <w:jc w:val="center"/>
        <w:rPr>
          <w:rFonts w:ascii="宋体" w:hAnsi="宋体" w:eastAsia="宋体"/>
          <w:sz w:val="30"/>
          <w:szCs w:val="30"/>
        </w:rPr>
      </w:pPr>
      <w:bookmarkStart w:id="0" w:name="_Toc38614660"/>
      <w:r>
        <w:rPr>
          <w:rFonts w:hint="eastAsia" w:ascii="宋体" w:hAnsi="宋体" w:eastAsia="宋体"/>
          <w:sz w:val="30"/>
          <w:szCs w:val="30"/>
        </w:rPr>
        <w:t>教育部将在部分重点领域建设优质教学资源库</w:t>
      </w:r>
      <w:bookmarkEnd w:id="0"/>
    </w:p>
    <w:p>
      <w:pPr>
        <w:spacing w:line="360" w:lineRule="auto"/>
        <w:ind w:firstLine="480" w:firstLineChars="200"/>
        <w:rPr>
          <w:rFonts w:ascii="宋体" w:hAnsi="宋体" w:eastAsia="宋体"/>
          <w:sz w:val="24"/>
          <w:szCs w:val="24"/>
        </w:rPr>
      </w:pPr>
      <w:r>
        <w:rPr>
          <w:rFonts w:hint="eastAsia" w:ascii="宋体" w:hAnsi="宋体" w:eastAsia="宋体"/>
          <w:sz w:val="24"/>
          <w:szCs w:val="24"/>
        </w:rPr>
        <w:t>教育部办公厅日前印发通知，决定启动部分领域教学资源建设工作。通知明确，聚焦国家重点领域紧缺人才培养，开展教学资源建设，完成专家组织组建、知识图谱构建、教学资源建设、资源审核应用、资源持续更新、教师培训等工作，推进“四新”（新工科、新农科、新医科、新文科）建设，推动高等教育“质量革命”。</w:t>
      </w:r>
    </w:p>
    <w:p>
      <w:pPr>
        <w:spacing w:line="360" w:lineRule="auto"/>
        <w:rPr>
          <w:rFonts w:ascii="宋体" w:hAnsi="宋体" w:eastAsia="宋体"/>
          <w:sz w:val="24"/>
          <w:szCs w:val="24"/>
        </w:rPr>
      </w:pPr>
      <w:r>
        <w:rPr>
          <w:rFonts w:ascii="宋体" w:hAnsi="宋体" w:eastAsia="宋体"/>
          <w:sz w:val="24"/>
          <w:szCs w:val="24"/>
        </w:rPr>
        <w:t xml:space="preserve">    通知提出，从2020年起，分年度在部分重点领域建设优质教学资源库，优化教育教学条件、推进教学方法改革、加强教师队伍建设，探索“四新”理念下教学资源建设新路径和人才培养新模式。</w:t>
      </w:r>
    </w:p>
    <w:p>
      <w:pPr>
        <w:spacing w:line="360" w:lineRule="auto"/>
        <w:rPr>
          <w:rFonts w:ascii="楷体_GB2312" w:hAnsi="宋体" w:eastAsia="楷体_GB2312" w:cs="Times New Roman"/>
          <w:sz w:val="24"/>
          <w:szCs w:val="24"/>
        </w:rPr>
      </w:pPr>
      <w:r>
        <w:rPr>
          <w:rFonts w:ascii="宋体" w:hAnsi="宋体" w:eastAsia="宋体"/>
          <w:sz w:val="24"/>
          <w:szCs w:val="24"/>
        </w:rPr>
        <w:t xml:space="preserve">    通知强调，资源建设要根据国家经济社会发展需求，研究确定重点建设领域，明确建设任务，加快相关领域优质教学资源建设。将资源建设与资源使用相统筹，实现在资源建设中培养教师队伍，在资源使用中锻炼教师队伍。同时，建立科学的建设领域动态调整机制和资源的持续更新机制，提高资源服务支撑能力。资源建设同时面向高校、行业企业、科研院所等单位，并注意最新科研成果的及时转化。完善经费和机制保障，对通过审核的资源建设者，给予适当资助，并在教育信息化等相关项目中给予优先支持。</w:t>
      </w:r>
      <w:r>
        <w:rPr>
          <w:rFonts w:hint="eastAsia" w:ascii="楷体_GB2312" w:hAnsi="宋体" w:eastAsia="楷体_GB2312" w:cs="Times New Roman"/>
          <w:w w:val="95"/>
          <w:sz w:val="24"/>
          <w:szCs w:val="24"/>
        </w:rPr>
        <w:t>（来源：中国教育新闻网。2020年4月21日）</w:t>
      </w:r>
    </w:p>
    <w:p>
      <w:pPr>
        <w:pStyle w:val="3"/>
        <w:jc w:val="center"/>
        <w:rPr>
          <w:rFonts w:ascii="宋体" w:hAnsi="宋体" w:eastAsia="宋体"/>
          <w:sz w:val="30"/>
          <w:szCs w:val="30"/>
        </w:rPr>
      </w:pPr>
      <w:bookmarkStart w:id="1" w:name="_Toc38614661"/>
      <w:r>
        <w:rPr>
          <w:rFonts w:hint="eastAsia" w:ascii="宋体" w:hAnsi="宋体" w:eastAsia="宋体"/>
          <w:sz w:val="30"/>
          <w:szCs w:val="30"/>
        </w:rPr>
        <w:t>高校银龄教师支援西部计划启动</w:t>
      </w:r>
      <w:bookmarkEnd w:id="1"/>
    </w:p>
    <w:p>
      <w:pPr>
        <w:spacing w:line="360" w:lineRule="auto"/>
        <w:ind w:firstLine="480" w:firstLineChars="200"/>
        <w:jc w:val="left"/>
        <w:rPr>
          <w:rFonts w:ascii="宋体" w:hAnsi="宋体" w:eastAsia="宋体"/>
          <w:sz w:val="24"/>
          <w:szCs w:val="24"/>
        </w:rPr>
      </w:pPr>
      <w:r>
        <w:rPr>
          <w:rFonts w:ascii="宋体" w:hAnsi="宋体" w:eastAsia="宋体"/>
          <w:sz w:val="24"/>
          <w:szCs w:val="24"/>
        </w:rPr>
        <w:t>近日，教育部印发《高校银龄教师支援西部计划实施方案》，计划面向西部地区行业、产业、企业急需的紧缺专业，遴选组织一批高校优秀退休教师支教、支研。2020年将从部分部属高校招募120至140名退休教师支援中国石油大学（北京）克拉玛依校区、塔里木大学、滇西应用技术大学。首批援派教师拟于2020年春季学期到位。</w:t>
      </w:r>
    </w:p>
    <w:p>
      <w:pPr>
        <w:spacing w:line="360" w:lineRule="auto"/>
        <w:ind w:firstLine="480" w:firstLineChars="200"/>
        <w:jc w:val="left"/>
        <w:rPr>
          <w:rFonts w:ascii="宋体" w:hAnsi="宋体" w:eastAsia="宋体"/>
          <w:sz w:val="24"/>
          <w:szCs w:val="24"/>
        </w:rPr>
      </w:pPr>
      <w:r>
        <w:rPr>
          <w:rFonts w:ascii="宋体" w:hAnsi="宋体" w:eastAsia="宋体"/>
          <w:sz w:val="24"/>
          <w:szCs w:val="24"/>
        </w:rPr>
        <w:t>《方案》打破了传统对口关系，采用“多对一”的方式，组织援受双方自由对接，是一种以资源流动解决教育发展不平衡问题的全新途径。教育部希望通过持续实施高校银龄教师支援西部计划，号召更多高校优秀退休教师，继续发挥自己的政治优势、经验优势和专业优势，助力西部高校提升立德树人、队伍建设和科研创新的能力，推动西部地区高校“双一流”建设。</w:t>
      </w:r>
    </w:p>
    <w:p>
      <w:pPr>
        <w:spacing w:line="360" w:lineRule="auto"/>
        <w:ind w:firstLine="480" w:firstLineChars="200"/>
        <w:jc w:val="left"/>
        <w:rPr>
          <w:rFonts w:ascii="宋体" w:hAnsi="宋体" w:eastAsia="宋体"/>
          <w:sz w:val="24"/>
          <w:szCs w:val="24"/>
        </w:rPr>
      </w:pPr>
      <w:r>
        <w:rPr>
          <w:rFonts w:ascii="宋体" w:hAnsi="宋体" w:eastAsia="宋体"/>
          <w:sz w:val="24"/>
          <w:szCs w:val="24"/>
        </w:rPr>
        <w:t>《方案》要求首批援派教师一般从教育部直属高校退休人员中遴选，年龄一般在70（含）岁以下（身体情况较好者可适当放宽年龄要求），具有副高级以上职称，一线教学科研经验丰富。援派教师工作以课程教学、教学指导、课题研究、团队建设指导为主，指导受援高校教师做好教学和科研工作。长期援派教师，支援服务时间原则上不少于一学年，每学年承担不少于64课时的教学工作，参与指导一项课题研究，通过传、帮、带方式指导青年教师；短期和远程支援教师则根据受援高校需求，认真做好支教、支研工作。</w:t>
      </w:r>
    </w:p>
    <w:p>
      <w:pPr>
        <w:spacing w:line="360" w:lineRule="auto"/>
        <w:ind w:firstLine="480" w:firstLineChars="200"/>
        <w:jc w:val="left"/>
        <w:rPr>
          <w:rFonts w:ascii="楷体_GB2312" w:hAnsi="宋体" w:eastAsia="楷体_GB2312" w:cs="Times New Roman"/>
          <w:sz w:val="24"/>
          <w:szCs w:val="24"/>
        </w:rPr>
      </w:pPr>
      <w:r>
        <w:rPr>
          <w:rFonts w:ascii="宋体" w:hAnsi="宋体" w:eastAsia="宋体"/>
          <w:sz w:val="24"/>
          <w:szCs w:val="24"/>
        </w:rPr>
        <w:t>为做好实施工作，教育部从部本级经费中直接划拨资金，用于发放援派教师补助。教师援派期间人事关系、现享受的退休待遇不变。</w:t>
      </w:r>
      <w:r>
        <w:rPr>
          <w:rFonts w:hint="eastAsia" w:ascii="楷体_GB2312" w:hAnsi="宋体" w:eastAsia="楷体_GB2312" w:cs="Times New Roman"/>
          <w:sz w:val="24"/>
          <w:szCs w:val="24"/>
        </w:rPr>
        <w:t>（来源：新华网。2020年3月26日）</w:t>
      </w:r>
    </w:p>
    <w:p>
      <w:pPr>
        <w:pStyle w:val="3"/>
        <w:jc w:val="center"/>
        <w:rPr>
          <w:rFonts w:ascii="宋体" w:hAnsi="宋体" w:eastAsia="宋体"/>
          <w:sz w:val="30"/>
          <w:szCs w:val="30"/>
        </w:rPr>
      </w:pPr>
      <w:bookmarkStart w:id="2" w:name="_Toc38614662"/>
      <w:r>
        <w:rPr>
          <w:rFonts w:ascii="宋体" w:hAnsi="宋体" w:eastAsia="宋体"/>
          <w:sz w:val="30"/>
          <w:szCs w:val="30"/>
        </w:rPr>
        <w:t>全国高校“一帮一”帮扶湖北高校毕业生就业创业</w:t>
      </w:r>
      <w:bookmarkEnd w:id="2"/>
    </w:p>
    <w:p>
      <w:pPr>
        <w:spacing w:line="360" w:lineRule="auto"/>
        <w:ind w:firstLine="480" w:firstLineChars="200"/>
        <w:jc w:val="left"/>
        <w:rPr>
          <w:rFonts w:ascii="宋体" w:hAnsi="宋体" w:eastAsia="宋体"/>
          <w:sz w:val="24"/>
          <w:szCs w:val="24"/>
        </w:rPr>
      </w:pPr>
      <w:r>
        <w:rPr>
          <w:rFonts w:ascii="宋体" w:hAnsi="宋体" w:eastAsia="宋体"/>
          <w:sz w:val="24"/>
          <w:szCs w:val="24"/>
        </w:rPr>
        <w:t>为做好“稳就业”工作，切实帮扶湖北高校毕业生顺利就业创业，教育部4月8日印发通知，启动实施全国高校与湖北高校毕业生就业创业工作“一帮一”行动。</w:t>
      </w:r>
    </w:p>
    <w:p>
      <w:pPr>
        <w:spacing w:line="360" w:lineRule="auto"/>
        <w:ind w:firstLine="480" w:firstLineChars="200"/>
        <w:jc w:val="left"/>
        <w:rPr>
          <w:rFonts w:ascii="宋体" w:hAnsi="宋体" w:eastAsia="宋体"/>
          <w:sz w:val="24"/>
          <w:szCs w:val="24"/>
        </w:rPr>
      </w:pPr>
      <w:r>
        <w:rPr>
          <w:rFonts w:ascii="宋体" w:hAnsi="宋体" w:eastAsia="宋体"/>
          <w:sz w:val="24"/>
          <w:szCs w:val="24"/>
        </w:rPr>
        <w:t>“一帮一”行动充分考虑了学校办学类型、就业工作特点和受援高校需要。首批确定48对高校开展帮扶行动，支援高校包括34所中央部委直属高校（含30所教育部直属高校）、4所省属普通高校、10所全国示范性高职院校；湖北受援高校包括8所中央部委直属高校（含7所教育部直属高校）、30所省属本科院校、10所高职院校。帮扶行动时间定为2020年4月至9月，并将根据疫情防控安排适时调整。</w:t>
      </w:r>
    </w:p>
    <w:p>
      <w:pPr>
        <w:spacing w:line="360" w:lineRule="auto"/>
        <w:ind w:firstLine="480" w:firstLineChars="200"/>
        <w:jc w:val="left"/>
        <w:rPr>
          <w:rFonts w:ascii="宋体" w:hAnsi="宋体" w:eastAsia="宋体"/>
          <w:sz w:val="24"/>
          <w:szCs w:val="24"/>
        </w:rPr>
      </w:pPr>
      <w:r>
        <w:rPr>
          <w:rFonts w:ascii="宋体" w:hAnsi="宋体" w:eastAsia="宋体"/>
          <w:sz w:val="24"/>
          <w:szCs w:val="24"/>
        </w:rPr>
        <w:t>支援高校与受援高校将在充分协商基础上，明确帮扶工作目标和具体措施，建立起“六共”帮扶机制。</w:t>
      </w:r>
      <w:r>
        <w:rPr>
          <w:rFonts w:ascii="宋体" w:hAnsi="宋体" w:eastAsia="宋体"/>
          <w:bCs/>
          <w:sz w:val="24"/>
          <w:szCs w:val="24"/>
        </w:rPr>
        <w:t>一是共享就业岗位信息，</w:t>
      </w:r>
      <w:r>
        <w:rPr>
          <w:rFonts w:ascii="宋体" w:hAnsi="宋体" w:eastAsia="宋体"/>
          <w:sz w:val="24"/>
          <w:szCs w:val="24"/>
        </w:rPr>
        <w:t>支援高校和受援高校共享网络招聘平台、联合举办网上招聘活动，并在掌握岗位需求信息和大学生求职意愿基础上，利用大数据技术等实现人岗匹配、精准推送，帮助受援高校毕业生获取更加丰富、更加精准的就业信息服务。</w:t>
      </w:r>
      <w:r>
        <w:rPr>
          <w:rFonts w:ascii="宋体" w:hAnsi="宋体" w:eastAsia="宋体"/>
          <w:bCs/>
          <w:sz w:val="24"/>
          <w:szCs w:val="24"/>
        </w:rPr>
        <w:t>二是共同开拓就业渠道，</w:t>
      </w:r>
      <w:r>
        <w:rPr>
          <w:rFonts w:ascii="宋体" w:hAnsi="宋体" w:eastAsia="宋体"/>
          <w:sz w:val="24"/>
          <w:szCs w:val="24"/>
        </w:rPr>
        <w:t>支援高校帮助受援高校开拓就业市场，引导属地就业资源等向受援高校延伸，并动员校友企业、来校招聘的用人单位等面向受援高校招聘，积极接收受援高校毕业生就业。</w:t>
      </w:r>
      <w:r>
        <w:rPr>
          <w:rFonts w:ascii="宋体" w:hAnsi="宋体" w:eastAsia="宋体"/>
          <w:bCs/>
          <w:sz w:val="24"/>
          <w:szCs w:val="24"/>
        </w:rPr>
        <w:t>三是共同加强就业指导，</w:t>
      </w:r>
      <w:r>
        <w:rPr>
          <w:rFonts w:ascii="宋体" w:hAnsi="宋体" w:eastAsia="宋体"/>
          <w:sz w:val="24"/>
          <w:szCs w:val="24"/>
        </w:rPr>
        <w:t>支援高校和受援高校共享双方就业创业指导课程、就业指导线上咨询，共同开展毕业生就业创业专题培训等，组织就业指导教师联合培训，帮助受援高校提升就业指导能力。</w:t>
      </w:r>
      <w:r>
        <w:rPr>
          <w:rFonts w:ascii="宋体" w:hAnsi="宋体" w:eastAsia="宋体"/>
          <w:bCs/>
          <w:sz w:val="24"/>
          <w:szCs w:val="24"/>
        </w:rPr>
        <w:t>四是共用优质教学资源，</w:t>
      </w:r>
      <w:r>
        <w:rPr>
          <w:rFonts w:ascii="宋体" w:hAnsi="宋体" w:eastAsia="宋体"/>
          <w:sz w:val="24"/>
          <w:szCs w:val="24"/>
        </w:rPr>
        <w:t>支援高校向受援高校毕业生开放相关教学资源，为受援高校毕业生提供更多实习实践机会，支持开展毕业设计（或论文）和毕业实习，帮助受援高校毕业生顺利毕业。</w:t>
      </w:r>
      <w:r>
        <w:rPr>
          <w:rFonts w:ascii="宋体" w:hAnsi="宋体" w:eastAsia="宋体"/>
          <w:bCs/>
          <w:sz w:val="24"/>
          <w:szCs w:val="24"/>
        </w:rPr>
        <w:t>五是共同开展创业实践活动，</w:t>
      </w:r>
      <w:r>
        <w:rPr>
          <w:rFonts w:ascii="宋体" w:hAnsi="宋体" w:eastAsia="宋体"/>
          <w:sz w:val="24"/>
          <w:szCs w:val="24"/>
        </w:rPr>
        <w:t>支援高校向受援高校毕业生开放“双创”示范基地、孵化器等众创空间，共同组织开展创业辅导、创业训练、创业大赛等创新创业指导服务，为毕业生创新创业提供支持。</w:t>
      </w:r>
      <w:r>
        <w:rPr>
          <w:rFonts w:ascii="宋体" w:hAnsi="宋体" w:eastAsia="宋体"/>
          <w:bCs/>
          <w:sz w:val="24"/>
          <w:szCs w:val="24"/>
        </w:rPr>
        <w:t>六是共同提高就业管理水平，</w:t>
      </w:r>
      <w:r>
        <w:rPr>
          <w:rFonts w:ascii="宋体" w:hAnsi="宋体" w:eastAsia="宋体"/>
          <w:sz w:val="24"/>
          <w:szCs w:val="24"/>
        </w:rPr>
        <w:t>支援高校和受援高校通过召开远程会议等多种方式，分享毕业生就业工作经验，交流工作理念和方法，共同做好疫情影响下的毕业生就业统计和权益保护等工作，切实提升就业管理服务水平。</w:t>
      </w:r>
    </w:p>
    <w:p>
      <w:pPr>
        <w:spacing w:line="360" w:lineRule="auto"/>
        <w:ind w:firstLine="480" w:firstLineChars="200"/>
        <w:jc w:val="left"/>
        <w:rPr>
          <w:rFonts w:ascii="楷体_GB2312" w:hAnsi="宋体" w:eastAsia="楷体_GB2312" w:cs="Times New Roman"/>
          <w:sz w:val="24"/>
          <w:szCs w:val="24"/>
        </w:rPr>
      </w:pPr>
      <w:r>
        <w:rPr>
          <w:rFonts w:ascii="宋体" w:hAnsi="宋体" w:eastAsia="宋体"/>
          <w:sz w:val="24"/>
          <w:szCs w:val="24"/>
        </w:rPr>
        <w:t>目前，48对高校已全部完成对接工作，正在共商制订帮扶协议。下一步，教育部将及时启动对湖北省其他高校的对口帮扶工作，并将定期对帮扶行动实施效果进行督导检查，及时总结帮扶行动的好做法好经验，积极推广富有成效的对口帮扶模式和做法。</w:t>
      </w:r>
      <w:r>
        <w:rPr>
          <w:rFonts w:hint="eastAsia" w:ascii="楷体_GB2312" w:hAnsi="宋体" w:eastAsia="楷体_GB2312" w:cs="Times New Roman"/>
          <w:sz w:val="24"/>
          <w:szCs w:val="24"/>
        </w:rPr>
        <w:t>（来源：人民网。2020年4月15日）</w:t>
      </w:r>
    </w:p>
    <w:p>
      <w:pPr>
        <w:pStyle w:val="3"/>
        <w:jc w:val="center"/>
        <w:rPr>
          <w:rFonts w:ascii="宋体" w:hAnsi="宋体" w:eastAsia="宋体"/>
          <w:sz w:val="30"/>
          <w:szCs w:val="30"/>
        </w:rPr>
      </w:pPr>
      <w:bookmarkStart w:id="3" w:name="_Toc38614663"/>
      <w:r>
        <w:rPr>
          <w:rFonts w:hint="eastAsia" w:ascii="宋体" w:hAnsi="宋体" w:eastAsia="宋体"/>
          <w:sz w:val="30"/>
          <w:szCs w:val="30"/>
        </w:rPr>
        <w:t>河南高校新增</w:t>
      </w:r>
      <w:r>
        <w:rPr>
          <w:rFonts w:ascii="宋体" w:hAnsi="宋体" w:eastAsia="宋体"/>
          <w:sz w:val="30"/>
          <w:szCs w:val="30"/>
        </w:rPr>
        <w:t>93个本科专业，撤销6个</w:t>
      </w:r>
      <w:bookmarkEnd w:id="3"/>
    </w:p>
    <w:p>
      <w:pPr>
        <w:spacing w:line="360" w:lineRule="auto"/>
        <w:ind w:firstLine="480" w:firstLineChars="200"/>
        <w:rPr>
          <w:rFonts w:ascii="宋体" w:hAnsi="宋体" w:eastAsia="宋体"/>
          <w:sz w:val="24"/>
          <w:szCs w:val="24"/>
        </w:rPr>
      </w:pPr>
      <w:r>
        <w:rPr>
          <w:rFonts w:hint="eastAsia" w:ascii="宋体" w:hAnsi="宋体" w:eastAsia="宋体"/>
          <w:sz w:val="24"/>
          <w:szCs w:val="24"/>
        </w:rPr>
        <w:t>教育部日前公布了</w:t>
      </w:r>
      <w:r>
        <w:rPr>
          <w:rFonts w:ascii="宋体" w:hAnsi="宋体" w:eastAsia="宋体"/>
          <w:sz w:val="24"/>
          <w:szCs w:val="24"/>
        </w:rPr>
        <w:t>2019年度普通高等学校本科专业备案和审批结果。</w:t>
      </w:r>
      <w:r>
        <w:rPr>
          <w:rFonts w:hint="eastAsia" w:ascii="宋体" w:hAnsi="宋体" w:eastAsia="宋体"/>
          <w:sz w:val="24"/>
          <w:szCs w:val="24"/>
        </w:rPr>
        <w:t>根据《普通高等学校本科专业设置管理规定》（教高〔</w:t>
      </w:r>
      <w:r>
        <w:rPr>
          <w:rFonts w:ascii="宋体" w:hAnsi="宋体" w:eastAsia="宋体"/>
          <w:sz w:val="24"/>
          <w:szCs w:val="24"/>
        </w:rPr>
        <w:t>2012〕9号），教育部组织开展了2019年度普通高等学校本科专业设置和调整工作。经申报、公示、审核等程序，根据普通高等学校专业设置与教学指导委员会评议结果，并征求有关部门意见，确定了同意设置的备案专业、国家控制布点专业和新增目录外专业点名单。</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本年度各高校新增备案专业</w:t>
      </w:r>
      <w:r>
        <w:rPr>
          <w:rFonts w:ascii="宋体" w:hAnsi="宋体" w:eastAsia="宋体"/>
          <w:sz w:val="24"/>
          <w:szCs w:val="24"/>
        </w:rPr>
        <w:t>1672个、审批专业181个（含130个国家控制布点专业和51个目录外新专业），调整学位授予门类或修业年限专业47个，撤销专业367个。</w:t>
      </w:r>
      <w:r>
        <w:rPr>
          <w:rFonts w:hint="eastAsia" w:ascii="宋体" w:hAnsi="宋体" w:eastAsia="宋体"/>
          <w:sz w:val="24"/>
          <w:szCs w:val="24"/>
        </w:rPr>
        <w:t>其中河南省新增备案本科专业</w:t>
      </w:r>
      <w:r>
        <w:rPr>
          <w:rFonts w:ascii="宋体" w:hAnsi="宋体" w:eastAsia="宋体"/>
          <w:sz w:val="24"/>
          <w:szCs w:val="24"/>
        </w:rPr>
        <w:t>89个，新增审批本科专业4个，撤销本科专业6个。多所高校新增人工智能专业。</w:t>
      </w:r>
    </w:p>
    <w:p>
      <w:pPr>
        <w:spacing w:line="360" w:lineRule="auto"/>
        <w:ind w:firstLine="480" w:firstLineChars="200"/>
        <w:rPr>
          <w:rFonts w:ascii="楷体_GB2312" w:hAnsi="宋体" w:eastAsia="楷体_GB2312" w:cs="Times New Roman"/>
          <w:sz w:val="24"/>
          <w:szCs w:val="24"/>
        </w:rPr>
      </w:pPr>
      <w:r>
        <w:rPr>
          <w:rFonts w:hint="eastAsia" w:ascii="宋体" w:hAnsi="宋体" w:eastAsia="宋体"/>
          <w:sz w:val="24"/>
          <w:szCs w:val="24"/>
        </w:rPr>
        <w:t>教育部要求，各地各高校认真做好新设专业的建设工作，坚持需求导向、标准导向、特色导向，把按社会需求办专业作为专业设置和调整的前提条件，把落实国家标准作为专业建设的底线要求。要根据社会需求变化情况，动态调整招生规模，持续改进和提升专业内涵。要健全质量保障，加强对新设专业的检查，促进人才培养与经济社会发展紧密结合。</w:t>
      </w:r>
      <w:r>
        <w:rPr>
          <w:rFonts w:hint="eastAsia" w:ascii="楷体_GB2312" w:hAnsi="宋体" w:eastAsia="楷体_GB2312" w:cs="Times New Roman"/>
          <w:sz w:val="24"/>
          <w:szCs w:val="24"/>
        </w:rPr>
        <w:t>（来源：教育部网。2020年3月3日）</w:t>
      </w:r>
    </w:p>
    <w:p>
      <w:pPr>
        <w:pStyle w:val="3"/>
        <w:jc w:val="center"/>
        <w:rPr>
          <w:rFonts w:ascii="宋体" w:hAnsi="宋体" w:eastAsia="宋体"/>
          <w:sz w:val="30"/>
          <w:szCs w:val="30"/>
        </w:rPr>
      </w:pPr>
      <w:bookmarkStart w:id="4" w:name="_Toc38614664"/>
      <w:r>
        <w:rPr>
          <w:rFonts w:hint="eastAsia" w:ascii="宋体" w:hAnsi="宋体" w:eastAsia="宋体"/>
          <w:sz w:val="30"/>
          <w:szCs w:val="30"/>
        </w:rPr>
        <w:t>教育部批准</w:t>
      </w:r>
      <w:r>
        <w:rPr>
          <w:rFonts w:ascii="宋体" w:hAnsi="宋体" w:eastAsia="宋体"/>
          <w:sz w:val="30"/>
          <w:szCs w:val="30"/>
        </w:rPr>
        <w:t>44个中外合作办学项目，河南四高校4个项目获批</w:t>
      </w:r>
      <w:bookmarkEnd w:id="4"/>
    </w:p>
    <w:p>
      <w:pPr>
        <w:spacing w:line="360" w:lineRule="auto"/>
        <w:ind w:firstLine="480" w:firstLineChars="200"/>
        <w:rPr>
          <w:rFonts w:ascii="宋体" w:hAnsi="宋体" w:eastAsia="宋体"/>
          <w:sz w:val="24"/>
          <w:szCs w:val="24"/>
        </w:rPr>
      </w:pPr>
      <w:r>
        <w:rPr>
          <w:rFonts w:hint="eastAsia" w:ascii="宋体" w:hAnsi="宋体" w:eastAsia="宋体"/>
          <w:sz w:val="24"/>
          <w:szCs w:val="24"/>
        </w:rPr>
        <w:t>近日，教育部发布《关于批准</w:t>
      </w:r>
      <w:r>
        <w:rPr>
          <w:rFonts w:ascii="宋体" w:hAnsi="宋体" w:eastAsia="宋体"/>
          <w:sz w:val="24"/>
          <w:szCs w:val="24"/>
        </w:rPr>
        <w:t>2019年下半年中外合作办学项目的通知》，批准44个本科以上中外合作办学项目，其中，河南省新增4个中外合作办学项目。</w:t>
      </w:r>
    </w:p>
    <w:p>
      <w:pPr>
        <w:spacing w:line="360" w:lineRule="auto"/>
        <w:ind w:firstLine="480" w:firstLineChars="200"/>
        <w:rPr>
          <w:rFonts w:ascii="楷体_GB2312" w:hAnsi="宋体" w:eastAsia="楷体_GB2312" w:cs="Times New Roman"/>
          <w:sz w:val="24"/>
          <w:szCs w:val="24"/>
        </w:rPr>
      </w:pPr>
      <w:r>
        <w:rPr>
          <w:rFonts w:hint="eastAsia" w:ascii="宋体" w:hAnsi="宋体" w:eastAsia="宋体"/>
          <w:sz w:val="24"/>
          <w:szCs w:val="24"/>
        </w:rPr>
        <w:t>据悉，河南获批的四个项目分别为：安阳工学院与维也纳应用科技大学合作举办机械电子工程专业本科；郑州西亚斯学院与美国亚利桑那大学合作举办音乐表演专业本科；郑州轻工业大学与意大利卡梅里诺大学合作举办食品科学与工程专业本科；河南师范大学与美国威斯康星大学绿湾分校合作举办环境工程专业本科。</w:t>
      </w:r>
      <w:r>
        <w:rPr>
          <w:rFonts w:hint="eastAsia" w:ascii="楷体_GB2312" w:hAnsi="宋体" w:eastAsia="楷体_GB2312" w:cs="Times New Roman"/>
          <w:sz w:val="24"/>
          <w:szCs w:val="24"/>
        </w:rPr>
        <w:t>（来源：河南省教育厅网。2020年3月18日）</w:t>
      </w:r>
    </w:p>
    <w:p>
      <w:pPr>
        <w:pStyle w:val="3"/>
        <w:ind w:left="360"/>
        <w:jc w:val="center"/>
        <w:rPr>
          <w:rFonts w:ascii="宋体" w:hAnsi="宋体" w:eastAsia="宋体"/>
          <w:sz w:val="30"/>
          <w:szCs w:val="30"/>
        </w:rPr>
      </w:pPr>
      <w:bookmarkStart w:id="5" w:name="_Toc38614665"/>
      <w:r>
        <w:rPr>
          <w:rFonts w:ascii="宋体" w:hAnsi="宋体" w:eastAsia="宋体"/>
          <w:sz w:val="30"/>
          <w:szCs w:val="30"/>
        </w:rPr>
        <w:t>2020年河南批准设立10所高职学院</w:t>
      </w:r>
      <w:bookmarkEnd w:id="5"/>
    </w:p>
    <w:p>
      <w:pPr>
        <w:spacing w:line="360" w:lineRule="auto"/>
        <w:ind w:firstLine="480" w:firstLineChars="200"/>
        <w:rPr>
          <w:rFonts w:ascii="宋体" w:hAnsi="宋体" w:eastAsia="宋体"/>
          <w:sz w:val="24"/>
          <w:szCs w:val="24"/>
        </w:rPr>
      </w:pPr>
      <w:r>
        <w:rPr>
          <w:rFonts w:hint="eastAsia" w:ascii="宋体" w:hAnsi="宋体" w:eastAsia="宋体"/>
          <w:sz w:val="24"/>
          <w:szCs w:val="24"/>
        </w:rPr>
        <w:t>近日，经河南省人民省政府第</w:t>
      </w:r>
      <w:r>
        <w:rPr>
          <w:rFonts w:ascii="宋体" w:hAnsi="宋体" w:eastAsia="宋体"/>
          <w:sz w:val="24"/>
          <w:szCs w:val="24"/>
        </w:rPr>
        <w:t>68次常务会议研究，河南省2020年新设立了10所高等学校。</w:t>
      </w:r>
    </w:p>
    <w:p>
      <w:pPr>
        <w:spacing w:line="360" w:lineRule="auto"/>
        <w:ind w:firstLine="480" w:firstLineChars="200"/>
        <w:rPr>
          <w:rFonts w:ascii="宋体" w:hAnsi="宋体" w:eastAsia="宋体"/>
          <w:sz w:val="24"/>
          <w:szCs w:val="24"/>
        </w:rPr>
      </w:pPr>
      <w:r>
        <w:rPr>
          <w:rFonts w:ascii="宋体" w:hAnsi="宋体" w:eastAsia="宋体"/>
          <w:sz w:val="24"/>
          <w:szCs w:val="24"/>
        </w:rPr>
        <w:t>2020年3月13日，《河南省人民政府关于设立河南女子职业技术学院等10所高校的通知》（豫政〔2020〕21号）文件印发，文件公布了这10所新设立的高校名单</w:t>
      </w:r>
      <w:r>
        <w:rPr>
          <w:rFonts w:hint="eastAsia" w:ascii="宋体" w:hAnsi="宋体" w:eastAsia="宋体"/>
          <w:sz w:val="24"/>
          <w:szCs w:val="24"/>
        </w:rPr>
        <w:t>，</w:t>
      </w:r>
      <w:r>
        <w:rPr>
          <w:rFonts w:ascii="宋体" w:hAnsi="宋体" w:eastAsia="宋体"/>
          <w:sz w:val="24"/>
          <w:szCs w:val="24"/>
        </w:rPr>
        <w:t>分别</w:t>
      </w:r>
      <w:r>
        <w:rPr>
          <w:rFonts w:hint="eastAsia" w:ascii="宋体" w:hAnsi="宋体" w:eastAsia="宋体"/>
          <w:sz w:val="24"/>
          <w:szCs w:val="24"/>
        </w:rPr>
        <w:t>为</w:t>
      </w:r>
      <w:r>
        <w:rPr>
          <w:rFonts w:ascii="宋体" w:hAnsi="宋体" w:eastAsia="宋体"/>
          <w:sz w:val="24"/>
          <w:szCs w:val="24"/>
        </w:rPr>
        <w:t>：</w:t>
      </w:r>
    </w:p>
    <w:p>
      <w:pPr>
        <w:spacing w:line="360" w:lineRule="auto"/>
        <w:ind w:firstLine="480" w:firstLineChars="200"/>
        <w:rPr>
          <w:rFonts w:ascii="楷体_GB2312" w:hAnsi="宋体" w:eastAsia="楷体_GB2312" w:cs="Times New Roman"/>
          <w:sz w:val="24"/>
          <w:szCs w:val="24"/>
        </w:rPr>
      </w:pPr>
      <w:r>
        <w:rPr>
          <w:rFonts w:hint="eastAsia" w:ascii="宋体" w:hAnsi="宋体" w:eastAsia="宋体"/>
          <w:sz w:val="24"/>
          <w:szCs w:val="24"/>
        </w:rPr>
        <w:t>河南女子职业学院，林州建筑职业技术学院，南阳科技职业学院，河南对外经济贸易职业学院，濮阳石油化工职业技术学院，郑州电子商务职业学院，郑州轨道工程职业学院，郑州体育职业学院，兰考三农职业学院，汝州职业技术学院。</w:t>
      </w:r>
      <w:r>
        <w:rPr>
          <w:rFonts w:hint="eastAsia" w:ascii="楷体_GB2312" w:hAnsi="宋体" w:eastAsia="楷体_GB2312" w:cs="Times New Roman"/>
          <w:sz w:val="24"/>
          <w:szCs w:val="24"/>
        </w:rPr>
        <w:t>（来源：河南省人民政府网。2020年3月19日）</w:t>
      </w:r>
    </w:p>
    <w:p>
      <w:pPr>
        <w:pStyle w:val="3"/>
        <w:jc w:val="center"/>
        <w:rPr>
          <w:rFonts w:ascii="宋体" w:hAnsi="宋体" w:eastAsia="宋体"/>
          <w:sz w:val="30"/>
          <w:szCs w:val="30"/>
        </w:rPr>
      </w:pPr>
      <w:bookmarkStart w:id="6" w:name="_Toc38614666"/>
      <w:r>
        <w:rPr>
          <w:rFonts w:hint="eastAsia" w:ascii="宋体" w:hAnsi="宋体" w:eastAsia="宋体"/>
          <w:sz w:val="30"/>
          <w:szCs w:val="30"/>
        </w:rPr>
        <w:t>河南</w:t>
      </w:r>
      <w:r>
        <w:rPr>
          <w:rFonts w:ascii="宋体" w:hAnsi="宋体" w:eastAsia="宋体"/>
          <w:sz w:val="30"/>
          <w:szCs w:val="30"/>
        </w:rPr>
        <w:t>20余所高校新增省级工程技术研究中心</w:t>
      </w:r>
      <w:bookmarkEnd w:id="6"/>
    </w:p>
    <w:p>
      <w:pPr>
        <w:spacing w:line="360" w:lineRule="auto"/>
        <w:ind w:firstLine="480" w:firstLineChars="200"/>
        <w:rPr>
          <w:rFonts w:ascii="宋体" w:hAnsi="宋体" w:eastAsia="宋体"/>
          <w:sz w:val="24"/>
          <w:szCs w:val="24"/>
        </w:rPr>
      </w:pPr>
      <w:r>
        <w:rPr>
          <w:rFonts w:ascii="宋体" w:hAnsi="宋体" w:eastAsia="宋体"/>
          <w:sz w:val="24"/>
          <w:szCs w:val="24"/>
        </w:rPr>
        <w:t>3月30日，河南省科技厅发布《关于同意郑州煤机综机设备有限公司等单位建设河南省工程技术研究中心的通知》，同意郑州煤机综机设备有限公司等344家单位建设河南省工程技术研究中心（以下简称工程中心）。其中，有35个工程中心依托河南高校建设</w:t>
      </w:r>
      <w:r>
        <w:rPr>
          <w:rFonts w:hint="eastAsia" w:ascii="宋体" w:hAnsi="宋体" w:eastAsia="宋体"/>
          <w:sz w:val="24"/>
          <w:szCs w:val="24"/>
        </w:rPr>
        <w:t>。</w:t>
      </w:r>
      <w:r>
        <w:rPr>
          <w:rFonts w:ascii="宋体" w:hAnsi="宋体" w:eastAsia="宋体"/>
          <w:sz w:val="24"/>
          <w:szCs w:val="24"/>
        </w:rPr>
        <w:t>郑州大学、河南科技大学、河南中医药大学、华北水利水电大学、河南科技学院、洛阳师范学院、信阳农林学院分别新增2个。</w:t>
      </w:r>
    </w:p>
    <w:p>
      <w:pPr>
        <w:spacing w:line="360" w:lineRule="auto"/>
        <w:ind w:firstLine="480" w:firstLineChars="200"/>
        <w:rPr>
          <w:rFonts w:ascii="楷体_GB2312" w:hAnsi="宋体" w:eastAsia="楷体_GB2312" w:cs="Times New Roman"/>
          <w:sz w:val="24"/>
          <w:szCs w:val="24"/>
        </w:rPr>
      </w:pPr>
      <w:r>
        <w:rPr>
          <w:rFonts w:hint="eastAsia" w:ascii="宋体" w:hAnsi="宋体" w:eastAsia="宋体"/>
          <w:sz w:val="24"/>
          <w:szCs w:val="24"/>
        </w:rPr>
        <w:t>据了解，省级工程技术研究中心是我省科技创新平台的重要组成部分，依托科技实力较强的企业、科研机构和高等院校建立，主要从事科研开发、技术创新和工程化试验。近年来，通过引导和支持工程技术研究中心开展科技创新活动，突破了一批制约我省产业发展的关键核心技术，涌现了一批高水平科技成果并实现了产业化，为依托单位发展壮大提供了技术支撑。</w:t>
      </w:r>
      <w:r>
        <w:rPr>
          <w:rFonts w:hint="eastAsia" w:ascii="楷体_GB2312" w:hAnsi="宋体" w:eastAsia="楷体_GB2312" w:cs="Times New Roman"/>
          <w:sz w:val="24"/>
          <w:szCs w:val="24"/>
        </w:rPr>
        <w:t>（来源：河南科技网。2020年4月1日）</w:t>
      </w:r>
    </w:p>
    <w:p>
      <w:pPr>
        <w:pStyle w:val="3"/>
        <w:jc w:val="center"/>
        <w:rPr>
          <w:rFonts w:ascii="宋体" w:hAnsi="宋体" w:eastAsia="宋体"/>
          <w:w w:val="92"/>
          <w:sz w:val="30"/>
          <w:szCs w:val="30"/>
        </w:rPr>
      </w:pPr>
      <w:bookmarkStart w:id="7" w:name="_Toc38614667"/>
      <w:r>
        <w:rPr>
          <w:rFonts w:hint="eastAsia" w:ascii="宋体" w:hAnsi="宋体" w:eastAsia="宋体"/>
          <w:w w:val="92"/>
          <w:sz w:val="30"/>
          <w:szCs w:val="30"/>
        </w:rPr>
        <w:t>河南：支持2所以上本科院校和若干职业院校开设家政服务相关专业</w:t>
      </w:r>
      <w:bookmarkEnd w:id="7"/>
    </w:p>
    <w:p>
      <w:pPr>
        <w:spacing w:line="360" w:lineRule="auto"/>
        <w:ind w:firstLine="480" w:firstLineChars="200"/>
        <w:rPr>
          <w:rFonts w:ascii="宋体" w:hAnsi="宋体" w:eastAsia="宋体"/>
          <w:sz w:val="24"/>
          <w:szCs w:val="24"/>
        </w:rPr>
      </w:pPr>
      <w:r>
        <w:rPr>
          <w:rFonts w:ascii="宋体" w:hAnsi="宋体" w:eastAsia="宋体"/>
          <w:sz w:val="24"/>
          <w:szCs w:val="24"/>
        </w:rPr>
        <w:t>4月8日，河南省发展改革委发布《2020年河南省服务业发展工作要点》(以下简称《要点》)，《要点》从主导产业、新兴服务业、传统服务业等方面列出工作要点，并指出2020年目标为全省服务业增加值2.8万亿元，增长7.5%左右，占全省GDP比重超过48%。</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《要点》要求加快重点项目建设。实施服务业促投资“</w:t>
      </w:r>
      <w:r>
        <w:rPr>
          <w:rFonts w:ascii="宋体" w:hAnsi="宋体" w:eastAsia="宋体"/>
          <w:sz w:val="24"/>
          <w:szCs w:val="24"/>
        </w:rPr>
        <w:t>1125”工程，聚焦10个服务业重点领域，推动1000个总投资2万亿的重大项目建设，力争年度完成投资5000亿元。</w:t>
      </w:r>
    </w:p>
    <w:p>
      <w:pPr>
        <w:spacing w:line="360" w:lineRule="auto"/>
        <w:ind w:firstLine="480" w:firstLineChars="200"/>
        <w:rPr>
          <w:rFonts w:ascii="楷体_GB2312" w:hAnsi="宋体" w:eastAsia="楷体_GB2312" w:cs="Times New Roman"/>
          <w:sz w:val="24"/>
          <w:szCs w:val="24"/>
        </w:rPr>
      </w:pPr>
      <w:r>
        <w:rPr>
          <w:rFonts w:hint="eastAsia" w:ascii="宋体" w:hAnsi="宋体" w:eastAsia="宋体"/>
          <w:sz w:val="24"/>
          <w:szCs w:val="24"/>
        </w:rPr>
        <w:t>《要点》提出，实施家政培训提升行动，支持</w:t>
      </w:r>
      <w:r>
        <w:rPr>
          <w:rFonts w:ascii="宋体" w:hAnsi="宋体" w:eastAsia="宋体"/>
          <w:sz w:val="24"/>
          <w:szCs w:val="24"/>
        </w:rPr>
        <w:t>2所以上本科高校和若干职业院校开设家政服务相关专业，举办全省家政服务业职业技能大赛，争取全年培训从业人员15万人次以上。</w:t>
      </w:r>
      <w:r>
        <w:rPr>
          <w:rFonts w:hint="eastAsia" w:ascii="楷体_GB2312" w:hAnsi="宋体" w:eastAsia="楷体_GB2312" w:cs="Times New Roman"/>
          <w:sz w:val="24"/>
          <w:szCs w:val="24"/>
        </w:rPr>
        <w:t>（来源：河南省教育厅网。2020年4月8日）</w:t>
      </w:r>
    </w:p>
    <w:p>
      <w:pPr>
        <w:pStyle w:val="3"/>
        <w:jc w:val="center"/>
        <w:rPr>
          <w:rFonts w:ascii="宋体" w:hAnsi="宋体" w:eastAsia="宋体"/>
          <w:sz w:val="30"/>
          <w:szCs w:val="30"/>
        </w:rPr>
      </w:pPr>
      <w:bookmarkStart w:id="8" w:name="_Toc38614668"/>
      <w:r>
        <w:rPr>
          <w:rFonts w:hint="eastAsia" w:ascii="宋体" w:hAnsi="宋体" w:eastAsia="宋体"/>
          <w:sz w:val="30"/>
          <w:szCs w:val="30"/>
        </w:rPr>
        <w:t>河南：启动百校万岗联合网络双选会</w:t>
      </w:r>
      <w:bookmarkEnd w:id="8"/>
    </w:p>
    <w:p>
      <w:pPr>
        <w:spacing w:line="360" w:lineRule="auto"/>
        <w:ind w:firstLine="480" w:firstLineChars="200"/>
        <w:rPr>
          <w:rFonts w:ascii="宋体" w:hAnsi="宋体" w:eastAsia="宋体"/>
          <w:sz w:val="24"/>
          <w:szCs w:val="24"/>
        </w:rPr>
      </w:pPr>
      <w:r>
        <w:rPr>
          <w:rFonts w:hint="eastAsia" w:ascii="宋体" w:hAnsi="宋体" w:eastAsia="宋体"/>
          <w:sz w:val="24"/>
          <w:szCs w:val="24"/>
        </w:rPr>
        <w:t>为继续做好疫情期间高校毕业生就业工作，搭建全天候高校毕业生与各用人单位网上交流平台，河南</w:t>
      </w:r>
      <w:r>
        <w:rPr>
          <w:rFonts w:ascii="宋体" w:hAnsi="宋体" w:eastAsia="宋体"/>
          <w:sz w:val="24"/>
          <w:szCs w:val="24"/>
        </w:rPr>
        <w:t>2020届高校毕业生“众志成城 出彩中原 百校万岗”联合网络双选会近日启动。活动将持续至7月31日，预计提供岗位超过100万个。</w:t>
      </w:r>
    </w:p>
    <w:p>
      <w:pPr>
        <w:spacing w:line="360" w:lineRule="auto"/>
        <w:rPr>
          <w:rFonts w:ascii="宋体" w:hAnsi="宋体" w:eastAsia="宋体"/>
          <w:sz w:val="24"/>
          <w:szCs w:val="24"/>
        </w:rPr>
      </w:pPr>
      <w:r>
        <w:rPr>
          <w:rFonts w:ascii="宋体" w:hAnsi="宋体" w:eastAsia="宋体"/>
          <w:sz w:val="24"/>
          <w:szCs w:val="24"/>
        </w:rPr>
        <w:t xml:space="preserve">    本次联合网络双选会分为“‘职’等你来——河南省2020届高校毕业生网上百日双选会”、河南毕业生就业市场各分市场网络双选活动、全省各高校校园网络双选活动三部分，通过河南省毕业生就业信息网、河南省大中专学生就业服务中心微信公众平台、各高校就业信息网等平台同步举办。目前，活动已上线各类网络双选会40余场，吸引了多家省内外知名企业线上选才。</w:t>
      </w:r>
    </w:p>
    <w:p>
      <w:pPr>
        <w:spacing w:line="360" w:lineRule="auto"/>
        <w:ind w:firstLine="480" w:firstLineChars="200"/>
        <w:rPr>
          <w:rFonts w:ascii="楷体_GB2312" w:hAnsi="宋体" w:eastAsia="楷体_GB2312" w:cs="Times New Roman"/>
          <w:sz w:val="24"/>
          <w:szCs w:val="24"/>
        </w:rPr>
      </w:pPr>
      <w:r>
        <w:rPr>
          <w:rFonts w:ascii="宋体" w:hAnsi="宋体" w:eastAsia="宋体"/>
          <w:sz w:val="24"/>
          <w:szCs w:val="24"/>
        </w:rPr>
        <w:t>根据疫情形势，河南省教育厅暂停了全省高校现场双选会，连续开展“河南省2020年毕业生春季网络双选月”“2020届高校毕业生全省网络联合公益服务——分秒在线促就业春暖活动”，以及师范类、医学卫生类、财经政法类、农林畜牧类、城建类大中专毕业生等专场网络双选活动，为毕业生求职就业及时提供岗位信息。</w:t>
      </w:r>
      <w:r>
        <w:rPr>
          <w:rFonts w:hint="eastAsia" w:ascii="楷体_GB2312" w:hAnsi="宋体" w:eastAsia="楷体_GB2312" w:cs="Times New Roman"/>
          <w:sz w:val="24"/>
          <w:szCs w:val="24"/>
        </w:rPr>
        <w:t>（来源：《中国教育报》。2020年4月16日）</w:t>
      </w:r>
    </w:p>
    <w:p>
      <w:pPr>
        <w:spacing w:line="360" w:lineRule="auto"/>
        <w:rPr>
          <w:rFonts w:ascii="宋体" w:hAnsi="宋体" w:eastAsia="宋体" w:cs="Times New Roman"/>
          <w:b/>
          <w:sz w:val="30"/>
          <w:szCs w:val="30"/>
        </w:rPr>
      </w:pPr>
      <w:r>
        <w:rPr>
          <w:rFonts w:hint="eastAsia" w:ascii="宋体" w:hAnsi="宋体" w:eastAsia="宋体" w:cs="Times New Roman"/>
          <w:b/>
          <w:sz w:val="30"/>
          <w:szCs w:val="30"/>
        </w:rPr>
        <w:t>高教论坛</w:t>
      </w:r>
    </w:p>
    <w:p>
      <w:pPr>
        <w:pStyle w:val="3"/>
        <w:jc w:val="center"/>
        <w:rPr>
          <w:rFonts w:ascii="宋体" w:hAnsi="宋体" w:eastAsia="宋体"/>
          <w:sz w:val="30"/>
          <w:szCs w:val="30"/>
        </w:rPr>
      </w:pPr>
      <w:bookmarkStart w:id="9" w:name="_Toc38614669"/>
      <w:r>
        <w:rPr>
          <w:rFonts w:hint="eastAsia" w:ascii="宋体" w:hAnsi="宋体" w:eastAsia="宋体"/>
          <w:sz w:val="30"/>
          <w:szCs w:val="30"/>
        </w:rPr>
        <w:t>提升本科教学质量如何发力</w:t>
      </w:r>
      <w:bookmarkEnd w:id="9"/>
    </w:p>
    <w:p>
      <w:pPr>
        <w:spacing w:line="360" w:lineRule="auto"/>
        <w:ind w:firstLine="480" w:firstLineChars="200"/>
        <w:jc w:val="left"/>
        <w:rPr>
          <w:rFonts w:ascii="宋体" w:hAnsi="宋体" w:eastAsia="宋体"/>
          <w:sz w:val="24"/>
          <w:szCs w:val="24"/>
        </w:rPr>
      </w:pPr>
      <w:r>
        <w:rPr>
          <w:rFonts w:ascii="宋体" w:hAnsi="宋体" w:eastAsia="宋体"/>
          <w:sz w:val="24"/>
          <w:szCs w:val="24"/>
        </w:rPr>
        <w:t>2019年是高校学风建设年：全面取消清考；学分不达标，本科降为专科甚至退学；论文抄袭开除学籍；教育部抽检了6000篇博士学位论文，抽检比例达上一学年度授予博士学位的10%左右……不少学生感慨，“毕业越来越难”。</w:t>
      </w:r>
    </w:p>
    <w:p>
      <w:pPr>
        <w:spacing w:line="360" w:lineRule="auto"/>
        <w:jc w:val="left"/>
        <w:rPr>
          <w:rFonts w:ascii="宋体" w:hAnsi="宋体" w:eastAsia="宋体"/>
          <w:sz w:val="24"/>
          <w:szCs w:val="24"/>
        </w:rPr>
      </w:pPr>
      <w:r>
        <w:rPr>
          <w:rFonts w:ascii="宋体" w:hAnsi="宋体" w:eastAsia="宋体"/>
          <w:sz w:val="24"/>
          <w:szCs w:val="24"/>
        </w:rPr>
        <w:t xml:space="preserve">    而教育部出台的《关于深化本科教育教学改革 全面提高人才培养质量的意见》（以下简称“意见”），也把严格教学管理放在了第一位，指出高校要切实加强学风建设，提升学业挑战度，引导学生多读书、深思考、善提问、勤实践，激励学生刻苦学习。</w:t>
      </w:r>
    </w:p>
    <w:p>
      <w:pPr>
        <w:spacing w:line="360" w:lineRule="auto"/>
        <w:jc w:val="left"/>
        <w:rPr>
          <w:rFonts w:ascii="宋体" w:hAnsi="宋体" w:eastAsia="宋体"/>
          <w:sz w:val="24"/>
          <w:szCs w:val="24"/>
        </w:rPr>
      </w:pPr>
      <w:r>
        <w:rPr>
          <w:rFonts w:ascii="宋体" w:hAnsi="宋体" w:eastAsia="宋体"/>
          <w:sz w:val="24"/>
          <w:szCs w:val="24"/>
        </w:rPr>
        <w:t xml:space="preserve">    怎样才能激发本科生的学习动力</w:t>
      </w:r>
      <w:r>
        <w:rPr>
          <w:rFonts w:hint="eastAsia" w:ascii="宋体" w:hAnsi="宋体" w:eastAsia="宋体"/>
          <w:sz w:val="24"/>
          <w:szCs w:val="24"/>
        </w:rPr>
        <w:t>？</w:t>
      </w:r>
      <w:r>
        <w:rPr>
          <w:rFonts w:ascii="宋体" w:hAnsi="宋体" w:eastAsia="宋体"/>
          <w:sz w:val="24"/>
          <w:szCs w:val="24"/>
        </w:rPr>
        <w:t>如何激励教师重教学重创新？什么样的教学配套改革最有利于学生学习？针对这些问题，记者进行深入采访。</w:t>
      </w:r>
    </w:p>
    <w:p>
      <w:pPr>
        <w:spacing w:line="360" w:lineRule="auto"/>
        <w:jc w:val="left"/>
        <w:rPr>
          <w:rFonts w:ascii="宋体" w:hAnsi="宋体" w:eastAsia="宋体"/>
          <w:b/>
          <w:bCs/>
          <w:sz w:val="24"/>
          <w:szCs w:val="24"/>
        </w:rPr>
      </w:pPr>
      <w:r>
        <w:rPr>
          <w:rFonts w:ascii="宋体" w:hAnsi="宋体" w:eastAsia="宋体"/>
          <w:sz w:val="24"/>
          <w:szCs w:val="24"/>
        </w:rPr>
        <w:t xml:space="preserve">   </w:t>
      </w:r>
      <w:r>
        <w:rPr>
          <w:rFonts w:ascii="宋体" w:hAnsi="宋体" w:eastAsia="宋体"/>
          <w:b/>
          <w:bCs/>
          <w:sz w:val="24"/>
          <w:szCs w:val="24"/>
        </w:rPr>
        <w:t xml:space="preserve"> 如何通过“合理增负”督促学习</w:t>
      </w:r>
    </w:p>
    <w:p>
      <w:pPr>
        <w:spacing w:line="360" w:lineRule="auto"/>
        <w:jc w:val="left"/>
        <w:rPr>
          <w:rFonts w:ascii="宋体" w:hAnsi="宋体" w:eastAsia="宋体"/>
          <w:b/>
          <w:bCs/>
          <w:sz w:val="24"/>
          <w:szCs w:val="24"/>
        </w:rPr>
      </w:pPr>
      <w:r>
        <w:rPr>
          <w:rFonts w:ascii="宋体" w:hAnsi="宋体" w:eastAsia="宋体"/>
          <w:sz w:val="24"/>
          <w:szCs w:val="24"/>
        </w:rPr>
        <w:t xml:space="preserve">    </w:t>
      </w:r>
      <w:r>
        <w:rPr>
          <w:rFonts w:ascii="宋体" w:hAnsi="宋体" w:eastAsia="宋体"/>
          <w:b/>
          <w:bCs/>
          <w:sz w:val="24"/>
          <w:szCs w:val="24"/>
        </w:rPr>
        <w:t>强化课外研学，加大学习过程考核力度</w:t>
      </w:r>
    </w:p>
    <w:p>
      <w:pPr>
        <w:spacing w:line="360" w:lineRule="auto"/>
        <w:jc w:val="left"/>
        <w:rPr>
          <w:rFonts w:ascii="宋体" w:hAnsi="宋体" w:eastAsia="宋体"/>
          <w:sz w:val="24"/>
          <w:szCs w:val="24"/>
        </w:rPr>
      </w:pPr>
      <w:r>
        <w:rPr>
          <w:rFonts w:ascii="宋体" w:hAnsi="宋体" w:eastAsia="宋体"/>
          <w:sz w:val="24"/>
          <w:szCs w:val="24"/>
        </w:rPr>
        <w:t xml:space="preserve">    打游戏、谈恋爱、考试加紧复习、清考……在当今的大学校园中并不鲜见。经历了玩命的中学，到了大学似乎可以轻松一点儿了。</w:t>
      </w:r>
    </w:p>
    <w:p>
      <w:pPr>
        <w:spacing w:line="360" w:lineRule="auto"/>
        <w:jc w:val="left"/>
        <w:rPr>
          <w:rFonts w:ascii="宋体" w:hAnsi="宋体" w:eastAsia="宋体"/>
          <w:sz w:val="24"/>
          <w:szCs w:val="24"/>
        </w:rPr>
      </w:pPr>
      <w:r>
        <w:rPr>
          <w:rFonts w:ascii="宋体" w:hAnsi="宋体" w:eastAsia="宋体"/>
          <w:sz w:val="24"/>
          <w:szCs w:val="24"/>
        </w:rPr>
        <w:t xml:space="preserve">    中国人民大学公共管理学院曾进行过一项调查，80%的学生认为大学课程仅需通过期末前的“加紧复习”就能通过。</w:t>
      </w:r>
    </w:p>
    <w:p>
      <w:pPr>
        <w:spacing w:line="360" w:lineRule="auto"/>
        <w:jc w:val="left"/>
        <w:rPr>
          <w:rFonts w:ascii="宋体" w:hAnsi="宋体" w:eastAsia="宋体"/>
          <w:sz w:val="24"/>
          <w:szCs w:val="24"/>
        </w:rPr>
      </w:pPr>
      <w:r>
        <w:rPr>
          <w:rFonts w:ascii="宋体" w:hAnsi="宋体" w:eastAsia="宋体"/>
          <w:sz w:val="24"/>
          <w:szCs w:val="24"/>
        </w:rPr>
        <w:t xml:space="preserve">    “临时抱佛脚是不少学生的学习常态。”中国人民大学教务处处长龙永红说，这是因为在不少课程考核中，不太重视平时学习考核，只要期末获得一个好成绩，就可以轻松拿到及格甚至优良的总评。而很多时候，期末考试的内容机械呆板、过于强调教条性的知识，不能体现对课堂教学内容的深度理解和思考、广度的延伸和拓展、灵活的掌握和运用，这就进一步加剧了学生对平时课堂的轻视，减弱了学生学习的主动性和积极性。”</w:t>
      </w:r>
    </w:p>
    <w:p>
      <w:pPr>
        <w:spacing w:line="360" w:lineRule="auto"/>
        <w:jc w:val="left"/>
        <w:rPr>
          <w:rFonts w:ascii="宋体" w:hAnsi="宋体" w:eastAsia="宋体"/>
          <w:sz w:val="24"/>
          <w:szCs w:val="24"/>
        </w:rPr>
      </w:pPr>
      <w:r>
        <w:rPr>
          <w:rFonts w:ascii="宋体" w:hAnsi="宋体" w:eastAsia="宋体"/>
          <w:sz w:val="24"/>
          <w:szCs w:val="24"/>
        </w:rPr>
        <w:t xml:space="preserve">    而分析深层次原因，在西北农林科技大学信息学院辅导员王淑珍看来，根子在于学生缺乏学习动力，以及功利化的学习动机。</w:t>
      </w:r>
    </w:p>
    <w:p>
      <w:pPr>
        <w:spacing w:line="360" w:lineRule="auto"/>
        <w:jc w:val="left"/>
        <w:rPr>
          <w:rFonts w:ascii="宋体" w:hAnsi="宋体" w:eastAsia="宋体"/>
          <w:sz w:val="24"/>
          <w:szCs w:val="24"/>
        </w:rPr>
      </w:pPr>
      <w:r>
        <w:rPr>
          <w:rFonts w:ascii="宋体" w:hAnsi="宋体" w:eastAsia="宋体"/>
          <w:sz w:val="24"/>
          <w:szCs w:val="24"/>
        </w:rPr>
        <w:t xml:space="preserve">    2018年6月，新时代全国高等学校本科教育工作会议上，教育部部长陈宝生表示：“玩命的中学、快乐的大学”这一现象必须扭转！</w:t>
      </w:r>
    </w:p>
    <w:p>
      <w:pPr>
        <w:spacing w:line="360" w:lineRule="auto"/>
        <w:jc w:val="left"/>
        <w:rPr>
          <w:rFonts w:ascii="宋体" w:hAnsi="宋体" w:eastAsia="宋体"/>
          <w:sz w:val="24"/>
          <w:szCs w:val="24"/>
        </w:rPr>
      </w:pPr>
      <w:r>
        <w:rPr>
          <w:rFonts w:ascii="宋体" w:hAnsi="宋体" w:eastAsia="宋体"/>
          <w:sz w:val="24"/>
          <w:szCs w:val="24"/>
        </w:rPr>
        <w:t xml:space="preserve">    在龙永红看来，“大学要合理增负”关键在于严格教学过程管理和教学环节要求。一方面强化教师对学生课外研学的设计、布置、督促和指导，一方面提出加大学习过程考核力度和考试难度。</w:t>
      </w:r>
    </w:p>
    <w:p>
      <w:pPr>
        <w:spacing w:line="360" w:lineRule="auto"/>
        <w:jc w:val="left"/>
        <w:rPr>
          <w:rFonts w:ascii="宋体" w:hAnsi="宋体" w:eastAsia="宋体"/>
          <w:sz w:val="24"/>
          <w:szCs w:val="24"/>
        </w:rPr>
      </w:pPr>
      <w:r>
        <w:rPr>
          <w:rFonts w:ascii="宋体" w:hAnsi="宋体" w:eastAsia="宋体"/>
          <w:sz w:val="24"/>
          <w:szCs w:val="24"/>
        </w:rPr>
        <w:t xml:space="preserve">    龙永红说，2019年学校要求各门课程都要加强学生课外研学环节、内容和考核：理工类课程主要加强习题课、研讨课教学，加强综合实验实践训练，学生参加和开展相关学习研究情况纳入平时成绩，相关学习内容作为教学要求纳入期末考试范畴。人文社科类课程和通识类课程主要加强课外延伸阅读和写作训练，保证每学分2本指定书目的阅读量或与之相当学习强度的其他文献资料研读量，阅读和写作情况纳入平时成绩。</w:t>
      </w:r>
    </w:p>
    <w:p>
      <w:pPr>
        <w:spacing w:line="360" w:lineRule="auto"/>
        <w:jc w:val="left"/>
        <w:rPr>
          <w:rFonts w:ascii="宋体" w:hAnsi="宋体" w:eastAsia="宋体"/>
          <w:sz w:val="24"/>
          <w:szCs w:val="24"/>
        </w:rPr>
      </w:pPr>
      <w:r>
        <w:rPr>
          <w:rFonts w:ascii="宋体" w:hAnsi="宋体" w:eastAsia="宋体"/>
          <w:sz w:val="24"/>
          <w:szCs w:val="24"/>
        </w:rPr>
        <w:t xml:space="preserve">    “在加大学习过程考核力度和考试难度方面，严格按照课程教学目标和教学要求科学合理命题，注意考核学生学习的广度、掌握的深度、理解的灵活度，加大学习过程考核力度，合理设定平时与期末成绩比例，引导学生广泛阅读、深度思考、自主探究。”龙永红说。</w:t>
      </w:r>
    </w:p>
    <w:p>
      <w:pPr>
        <w:spacing w:line="360" w:lineRule="auto"/>
        <w:jc w:val="left"/>
        <w:rPr>
          <w:rFonts w:ascii="宋体" w:hAnsi="宋体" w:eastAsia="宋体"/>
          <w:b/>
          <w:bCs/>
          <w:sz w:val="24"/>
          <w:szCs w:val="24"/>
        </w:rPr>
      </w:pPr>
      <w:r>
        <w:rPr>
          <w:rFonts w:ascii="宋体" w:hAnsi="宋体" w:eastAsia="宋体"/>
          <w:sz w:val="24"/>
          <w:szCs w:val="24"/>
        </w:rPr>
        <w:t xml:space="preserve">    </w:t>
      </w:r>
      <w:r>
        <w:rPr>
          <w:rFonts w:ascii="宋体" w:hAnsi="宋体" w:eastAsia="宋体"/>
          <w:b/>
          <w:bCs/>
          <w:sz w:val="24"/>
          <w:szCs w:val="24"/>
        </w:rPr>
        <w:t>如何激励教师重教学重创新</w:t>
      </w:r>
    </w:p>
    <w:p>
      <w:pPr>
        <w:spacing w:line="360" w:lineRule="auto"/>
        <w:jc w:val="left"/>
        <w:rPr>
          <w:rFonts w:ascii="宋体" w:hAnsi="宋体" w:eastAsia="宋体"/>
          <w:b/>
          <w:bCs/>
          <w:sz w:val="24"/>
          <w:szCs w:val="24"/>
        </w:rPr>
      </w:pPr>
      <w:r>
        <w:rPr>
          <w:rFonts w:ascii="宋体" w:hAnsi="宋体" w:eastAsia="宋体"/>
          <w:sz w:val="24"/>
          <w:szCs w:val="24"/>
        </w:rPr>
        <w:t xml:space="preserve">    </w:t>
      </w:r>
      <w:r>
        <w:rPr>
          <w:rFonts w:ascii="宋体" w:hAnsi="宋体" w:eastAsia="宋体"/>
          <w:b/>
          <w:bCs/>
          <w:sz w:val="24"/>
          <w:szCs w:val="24"/>
        </w:rPr>
        <w:t>经费支持一线教师，打通科研与教学的师资链</w:t>
      </w:r>
    </w:p>
    <w:p>
      <w:pPr>
        <w:spacing w:line="360" w:lineRule="auto"/>
        <w:jc w:val="left"/>
        <w:rPr>
          <w:rFonts w:ascii="宋体" w:hAnsi="宋体" w:eastAsia="宋体"/>
          <w:sz w:val="24"/>
          <w:szCs w:val="24"/>
        </w:rPr>
      </w:pPr>
      <w:r>
        <w:rPr>
          <w:rFonts w:ascii="宋体" w:hAnsi="宋体" w:eastAsia="宋体"/>
          <w:sz w:val="24"/>
          <w:szCs w:val="24"/>
        </w:rPr>
        <w:t xml:space="preserve">    课程太难、课堂无聊、部分教师照本宣科……沉闷的课堂是学习积极性不高的原因之一。怎样才能把沉闷的课堂，变成有活力、有效率的课堂呢？</w:t>
      </w:r>
    </w:p>
    <w:p>
      <w:pPr>
        <w:spacing w:line="360" w:lineRule="auto"/>
        <w:jc w:val="left"/>
        <w:rPr>
          <w:rFonts w:ascii="宋体" w:hAnsi="宋体" w:eastAsia="宋体"/>
          <w:sz w:val="24"/>
          <w:szCs w:val="24"/>
        </w:rPr>
      </w:pPr>
      <w:r>
        <w:rPr>
          <w:rFonts w:ascii="宋体" w:hAnsi="宋体" w:eastAsia="宋体"/>
          <w:sz w:val="24"/>
          <w:szCs w:val="24"/>
        </w:rPr>
        <w:t xml:space="preserve">    “上我的课，几乎没有人玩手机。”谈到课堂氛围，天津大学机械工程学院副院长曹树谦不无自豪。在曹树谦看来，教学要形式与内容并重。“在授课形式上，要发挥课堂的主场优势，充分利用现场感，利用多媒体设备，连教师的身体动作甚至表情都要充分利用起来。”曹树谦说，而教学内容上，教学实践需要过程，要不断学习，注重积累。专业课教师尤其要把自己所从事的科研内容融于教学内容中去，不要完全按照书本，这样才能不断带给学生“干货”“新的东西”。</w:t>
      </w:r>
    </w:p>
    <w:p>
      <w:pPr>
        <w:spacing w:line="360" w:lineRule="auto"/>
        <w:jc w:val="left"/>
        <w:rPr>
          <w:rFonts w:ascii="宋体" w:hAnsi="宋体" w:eastAsia="宋体"/>
          <w:sz w:val="24"/>
          <w:szCs w:val="24"/>
        </w:rPr>
      </w:pPr>
      <w:r>
        <w:rPr>
          <w:rFonts w:ascii="宋体" w:hAnsi="宋体" w:eastAsia="宋体"/>
          <w:sz w:val="24"/>
          <w:szCs w:val="24"/>
        </w:rPr>
        <w:t xml:space="preserve">    龙永红分析，重科研轻教学的评价导向、教师教学钻研不够、教学能力不足、提高教学水平缺乏途径等，都会导致课堂教学效率不高。</w:t>
      </w:r>
    </w:p>
    <w:p>
      <w:pPr>
        <w:spacing w:line="360" w:lineRule="auto"/>
        <w:jc w:val="left"/>
        <w:rPr>
          <w:rFonts w:ascii="宋体" w:hAnsi="宋体" w:eastAsia="宋体"/>
          <w:sz w:val="24"/>
          <w:szCs w:val="24"/>
        </w:rPr>
      </w:pPr>
      <w:r>
        <w:rPr>
          <w:rFonts w:ascii="宋体" w:hAnsi="宋体" w:eastAsia="宋体"/>
          <w:sz w:val="24"/>
          <w:szCs w:val="24"/>
        </w:rPr>
        <w:t xml:space="preserve">    怎样破解？中国人民大学实施教师激励和督导政策，双管齐下，以提升教师教学积极性。</w:t>
      </w:r>
    </w:p>
    <w:p>
      <w:pPr>
        <w:spacing w:line="360" w:lineRule="auto"/>
        <w:jc w:val="left"/>
        <w:rPr>
          <w:rFonts w:ascii="宋体" w:hAnsi="宋体" w:eastAsia="宋体"/>
          <w:sz w:val="24"/>
          <w:szCs w:val="24"/>
        </w:rPr>
      </w:pPr>
      <w:r>
        <w:rPr>
          <w:rFonts w:ascii="宋体" w:hAnsi="宋体" w:eastAsia="宋体"/>
          <w:sz w:val="24"/>
          <w:szCs w:val="24"/>
        </w:rPr>
        <w:t xml:space="preserve">    “在激励方面，人大将教学奖励项目分为‘团队及教学改革与建设成果类’和‘个人教学水平、贡献与绩效类’两大类。团队奖项中‘教学成果奖’最多可收获200万元奖金支持。”龙永红说，而在督导方面，学校组建本科教学督导团，院系组建教学督导组，通过深入课堂听课，检查教学环节，发现问题并提出意见建议。同时，也可以挖掘优秀教师和优秀课程，促进同行之间研讨交流和师生交流、保障教学质量、教师教学综合评价、教学改革建设等。</w:t>
      </w:r>
    </w:p>
    <w:p>
      <w:pPr>
        <w:spacing w:line="360" w:lineRule="auto"/>
        <w:jc w:val="left"/>
        <w:rPr>
          <w:rFonts w:ascii="宋体" w:hAnsi="宋体" w:eastAsia="宋体"/>
          <w:sz w:val="24"/>
          <w:szCs w:val="24"/>
        </w:rPr>
      </w:pPr>
      <w:r>
        <w:rPr>
          <w:rFonts w:ascii="宋体" w:hAnsi="宋体" w:eastAsia="宋体"/>
          <w:sz w:val="24"/>
          <w:szCs w:val="24"/>
        </w:rPr>
        <w:t xml:space="preserve">    “首先是推动教学创新，构建课堂内的师生共同体。”南开大学教务处处长李川勇说，在课堂上，南开大学积极推动以学习目标为导向，以有效互动为教学动力，加强过程化考核，促进教师有效引导、学生主动学习深度学习。鼓励教师以有效教学模型组织教学，通过“大班授课、小班讨论”互动教学、有效面授、翻转课堂等多种形式，增强有效教学的辐射力，打造本科生“金课”。</w:t>
      </w:r>
    </w:p>
    <w:p>
      <w:pPr>
        <w:spacing w:line="360" w:lineRule="auto"/>
        <w:jc w:val="left"/>
        <w:rPr>
          <w:rFonts w:ascii="宋体" w:hAnsi="宋体" w:eastAsia="宋体"/>
          <w:sz w:val="24"/>
          <w:szCs w:val="24"/>
        </w:rPr>
      </w:pPr>
      <w:r>
        <w:rPr>
          <w:rFonts w:ascii="宋体" w:hAnsi="宋体" w:eastAsia="宋体"/>
          <w:sz w:val="24"/>
          <w:szCs w:val="24"/>
        </w:rPr>
        <w:t xml:space="preserve">    在课堂外，李川勇介绍，逐步构建了校、院、班三级学业指导体系，成立了“名师面对面”“导师工作坊”“学习中心”等组成的校级学业指导中心，完善院级学业指导工作体系和帮扶提升体系，全面实施30人班的班导师制，探索全校范围跨学科师生组成的智慧书院的建设，从学业规划、学习指导、职业生涯、人生目标等方面给予学生全方位指导，营造课堂外的师生共同体。</w:t>
      </w:r>
    </w:p>
    <w:p>
      <w:pPr>
        <w:spacing w:line="360" w:lineRule="auto"/>
        <w:ind w:firstLine="480" w:firstLineChars="200"/>
        <w:jc w:val="left"/>
        <w:rPr>
          <w:rFonts w:ascii="宋体" w:hAnsi="宋体" w:eastAsia="宋体"/>
          <w:sz w:val="24"/>
          <w:szCs w:val="24"/>
        </w:rPr>
      </w:pPr>
      <w:r>
        <w:rPr>
          <w:rFonts w:ascii="宋体" w:hAnsi="宋体" w:eastAsia="宋体"/>
          <w:sz w:val="24"/>
          <w:szCs w:val="24"/>
        </w:rPr>
        <w:t>为了激励教师全身心投入教学，山东大学面向一线教师提供教学研究经费支持和奖励。</w:t>
      </w:r>
    </w:p>
    <w:p>
      <w:pPr>
        <w:spacing w:line="360" w:lineRule="auto"/>
        <w:ind w:firstLine="480" w:firstLineChars="200"/>
        <w:jc w:val="left"/>
        <w:rPr>
          <w:rFonts w:ascii="宋体" w:hAnsi="宋体" w:eastAsia="宋体"/>
          <w:sz w:val="24"/>
          <w:szCs w:val="24"/>
        </w:rPr>
      </w:pPr>
      <w:r>
        <w:rPr>
          <w:rFonts w:ascii="宋体" w:hAnsi="宋体" w:eastAsia="宋体"/>
          <w:sz w:val="24"/>
          <w:szCs w:val="24"/>
        </w:rPr>
        <w:t>“2019年全校3400余名教师，700多名申请，批了360个项目，总计1000万元教学研究经费，计划2020年投入1500万元支持教师开展教学研究。在奖励方面，给予省级教学成果奖5倍、国家级教学成果奖10倍的匹配支持，同时在职称晋升和杰出人才评聘中加强教学元素、教学成果的比重，设置教学型教授、副教授，打通教师通过教学上升的渠道，传承尊师重教的优良传统。”山东大学本科生院院长刘传勇说。</w:t>
      </w:r>
    </w:p>
    <w:p>
      <w:pPr>
        <w:spacing w:line="360" w:lineRule="auto"/>
        <w:jc w:val="left"/>
        <w:rPr>
          <w:rFonts w:ascii="宋体" w:hAnsi="宋体" w:eastAsia="宋体"/>
          <w:sz w:val="24"/>
          <w:szCs w:val="24"/>
        </w:rPr>
      </w:pPr>
      <w:r>
        <w:rPr>
          <w:rFonts w:ascii="宋体" w:hAnsi="宋体" w:eastAsia="宋体"/>
          <w:sz w:val="24"/>
          <w:szCs w:val="24"/>
        </w:rPr>
        <w:t xml:space="preserve">    在刘传勇看来，教学是学术，与科研是完全一样的。教师要去学习研究，掌握教育教学规律和方法，由教学型教师逐渐向学术型教师转变；教师有了教学学术背景，再结合学科积淀，教育教学能力会逐步提高。</w:t>
      </w:r>
    </w:p>
    <w:p>
      <w:pPr>
        <w:spacing w:line="360" w:lineRule="auto"/>
        <w:jc w:val="left"/>
        <w:rPr>
          <w:rFonts w:ascii="宋体" w:hAnsi="宋体" w:eastAsia="宋体"/>
          <w:sz w:val="24"/>
          <w:szCs w:val="24"/>
        </w:rPr>
      </w:pPr>
      <w:r>
        <w:rPr>
          <w:rFonts w:ascii="宋体" w:hAnsi="宋体" w:eastAsia="宋体"/>
          <w:sz w:val="24"/>
          <w:szCs w:val="24"/>
        </w:rPr>
        <w:t xml:space="preserve">    武汉大学着重打通科研与教学的师资链，让更多高水平教师扎根教学一线，切实提高本科教学质量。武汉大学要求所有教授给本科生上课，是狠抓本科教学质量的一记“重拳”。宁津生院士的83岁生日，就在大一学生的课堂上度过。这门由宁津生、刘经南、陈俊勇等7位院士和几位知名教授共同讲授的“测绘学概论”，被誉为“最奢侈基础课”之一。</w:t>
      </w:r>
    </w:p>
    <w:p>
      <w:pPr>
        <w:spacing w:line="360" w:lineRule="auto"/>
        <w:jc w:val="left"/>
        <w:rPr>
          <w:rFonts w:ascii="宋体" w:hAnsi="宋体" w:eastAsia="宋体"/>
          <w:sz w:val="24"/>
          <w:szCs w:val="24"/>
        </w:rPr>
      </w:pPr>
      <w:r>
        <w:rPr>
          <w:rFonts w:ascii="宋体" w:hAnsi="宋体" w:eastAsia="宋体"/>
          <w:sz w:val="24"/>
          <w:szCs w:val="24"/>
        </w:rPr>
        <w:t xml:space="preserve">    中国地质大学（武汉）机械与电子信息学院副院长文国军介绍，“产学研用”相互结合能够在学风建设中起到意想不到的效果。</w:t>
      </w:r>
    </w:p>
    <w:p>
      <w:pPr>
        <w:spacing w:line="360" w:lineRule="auto"/>
        <w:ind w:firstLine="480" w:firstLineChars="200"/>
        <w:jc w:val="left"/>
        <w:rPr>
          <w:rFonts w:ascii="宋体" w:hAnsi="宋体" w:eastAsia="宋体"/>
          <w:sz w:val="24"/>
          <w:szCs w:val="24"/>
        </w:rPr>
      </w:pPr>
      <w:r>
        <w:rPr>
          <w:rFonts w:ascii="宋体" w:hAnsi="宋体" w:eastAsia="宋体"/>
          <w:sz w:val="24"/>
          <w:szCs w:val="24"/>
        </w:rPr>
        <w:t>“学院推进特色行业+高新行业实践教学模式，积极推进与地质工程装备、机器人、自动化、机器视觉、汽车检测、军工检测等特色行业和高新技术行业合作，把学生的学习从书本转到生产环节，引导学生从被动学习到以问题为导向探索性和研究性学习，被学生称为‘真刀实枪式的学习’，对提高学生的学习深度和能力，影响深远。”文国军说。</w:t>
      </w:r>
    </w:p>
    <w:p>
      <w:pPr>
        <w:spacing w:line="360" w:lineRule="auto"/>
        <w:ind w:firstLine="480" w:firstLineChars="200"/>
        <w:jc w:val="left"/>
        <w:rPr>
          <w:rFonts w:ascii="宋体" w:hAnsi="宋体" w:eastAsia="宋体"/>
          <w:sz w:val="24"/>
          <w:szCs w:val="24"/>
        </w:rPr>
      </w:pPr>
      <w:r>
        <w:rPr>
          <w:rFonts w:ascii="宋体" w:hAnsi="宋体" w:eastAsia="宋体"/>
          <w:sz w:val="24"/>
          <w:szCs w:val="24"/>
        </w:rPr>
        <w:t>高晓峰分析，以前学习往往是书本传输，学生接收，却缺少了应用的环节，而在无锡钻通的实习就补足了这个部分。</w:t>
      </w:r>
    </w:p>
    <w:p>
      <w:pPr>
        <w:spacing w:line="360" w:lineRule="auto"/>
        <w:jc w:val="left"/>
        <w:rPr>
          <w:rFonts w:ascii="宋体" w:hAnsi="宋体" w:eastAsia="宋体"/>
          <w:sz w:val="24"/>
          <w:szCs w:val="24"/>
        </w:rPr>
      </w:pPr>
      <w:r>
        <w:rPr>
          <w:rFonts w:ascii="宋体" w:hAnsi="宋体" w:eastAsia="宋体"/>
          <w:sz w:val="24"/>
          <w:szCs w:val="24"/>
        </w:rPr>
        <w:t xml:space="preserve">    “我们从书本理论出发，应用于实际，不但更好地掌握了知识，而且从实践中引发思考注重细节，对于机械设计的能力得到较大提升，也培养了勇于探索和自我学习的能力。”高晓峰说，“这也激发了我们的好奇心，使大家更愿意去亲手实践，从实践中找错误改正错误，积极参加老师的科研项目以及专业比赛，培养了我们学生沉心科研、勇于实践、敢于探究的学习态度。”</w:t>
      </w:r>
    </w:p>
    <w:p>
      <w:pPr>
        <w:spacing w:line="360" w:lineRule="auto"/>
        <w:ind w:firstLine="482" w:firstLineChars="200"/>
        <w:jc w:val="left"/>
        <w:rPr>
          <w:rFonts w:ascii="宋体" w:hAnsi="宋体" w:eastAsia="宋体"/>
          <w:b/>
          <w:bCs/>
          <w:sz w:val="24"/>
          <w:szCs w:val="24"/>
        </w:rPr>
      </w:pPr>
      <w:r>
        <w:rPr>
          <w:rFonts w:ascii="宋体" w:hAnsi="宋体" w:eastAsia="宋体"/>
          <w:b/>
          <w:bCs/>
          <w:sz w:val="24"/>
          <w:szCs w:val="24"/>
        </w:rPr>
        <w:t>什么样的教学配套改革最利于学生学习</w:t>
      </w:r>
    </w:p>
    <w:p>
      <w:pPr>
        <w:spacing w:line="360" w:lineRule="auto"/>
        <w:jc w:val="left"/>
        <w:rPr>
          <w:rFonts w:ascii="宋体" w:hAnsi="宋体" w:eastAsia="宋体"/>
          <w:b/>
          <w:bCs/>
          <w:sz w:val="24"/>
          <w:szCs w:val="24"/>
        </w:rPr>
      </w:pPr>
      <w:r>
        <w:rPr>
          <w:rFonts w:ascii="宋体" w:hAnsi="宋体" w:eastAsia="宋体"/>
          <w:sz w:val="24"/>
          <w:szCs w:val="24"/>
        </w:rPr>
        <w:t xml:space="preserve">    </w:t>
      </w:r>
      <w:r>
        <w:rPr>
          <w:rFonts w:ascii="宋体" w:hAnsi="宋体" w:eastAsia="宋体"/>
          <w:b/>
          <w:bCs/>
          <w:sz w:val="24"/>
          <w:szCs w:val="24"/>
        </w:rPr>
        <w:t>专业设置、课程建设要因地制宜</w:t>
      </w:r>
    </w:p>
    <w:p>
      <w:pPr>
        <w:spacing w:line="360" w:lineRule="auto"/>
        <w:jc w:val="left"/>
        <w:rPr>
          <w:rFonts w:ascii="宋体" w:hAnsi="宋体" w:eastAsia="宋体"/>
          <w:sz w:val="24"/>
          <w:szCs w:val="24"/>
        </w:rPr>
      </w:pPr>
      <w:r>
        <w:rPr>
          <w:rFonts w:ascii="宋体" w:hAnsi="宋体" w:eastAsia="宋体"/>
          <w:sz w:val="24"/>
          <w:szCs w:val="24"/>
        </w:rPr>
        <w:t xml:space="preserve">    在西北农林科技大学经济管理学院2016级学生渠宇飞看来，从大二开始的“实地调研”对自己的学术研究方向影响重大。</w:t>
      </w:r>
    </w:p>
    <w:p>
      <w:pPr>
        <w:spacing w:line="360" w:lineRule="auto"/>
        <w:jc w:val="left"/>
        <w:rPr>
          <w:rFonts w:ascii="宋体" w:hAnsi="宋体" w:eastAsia="宋体"/>
          <w:sz w:val="24"/>
          <w:szCs w:val="24"/>
        </w:rPr>
      </w:pPr>
      <w:r>
        <w:rPr>
          <w:rFonts w:ascii="宋体" w:hAnsi="宋体" w:eastAsia="宋体"/>
          <w:sz w:val="24"/>
          <w:szCs w:val="24"/>
        </w:rPr>
        <w:t xml:space="preserve">    “农业方面最讲究实践，一定要了解农村、农民、农业，学校规定所有学生都要实地调研，大二和大三各有6学分的实践课程。”渠宇飞说，“我们文科类研究农业经济，必须与农户接触，采集数据，进行科研能力培养。到村里的实地调研也使我认识了乡村，有了专业报国、为乡村振兴做点儿事的想法。”</w:t>
      </w:r>
    </w:p>
    <w:p>
      <w:pPr>
        <w:spacing w:line="360" w:lineRule="auto"/>
        <w:jc w:val="left"/>
        <w:rPr>
          <w:rFonts w:ascii="宋体" w:hAnsi="宋体" w:eastAsia="宋体"/>
          <w:sz w:val="24"/>
          <w:szCs w:val="24"/>
        </w:rPr>
      </w:pPr>
      <w:r>
        <w:rPr>
          <w:rFonts w:ascii="宋体" w:hAnsi="宋体" w:eastAsia="宋体"/>
          <w:sz w:val="24"/>
          <w:szCs w:val="24"/>
        </w:rPr>
        <w:t xml:space="preserve">    “我们结合工作实际和农林类专业学生特点，出台了《西北农林科技大学关于进一步加强大学生学风建设的实施意见》，为强化学风建设提供制度保障。”西北农林科技大学学生处处长王文博介绍，学校提出了激发学习动力、筑牢专业思想、深化学业指导、特殊群体帮扶等9项具体措施，帮助学生增强学习动力，明确学习目标，提高学习成效。</w:t>
      </w:r>
    </w:p>
    <w:p>
      <w:pPr>
        <w:spacing w:line="360" w:lineRule="auto"/>
        <w:jc w:val="left"/>
        <w:rPr>
          <w:rFonts w:ascii="宋体" w:hAnsi="宋体" w:eastAsia="宋体"/>
          <w:sz w:val="24"/>
          <w:szCs w:val="24"/>
        </w:rPr>
      </w:pPr>
      <w:r>
        <w:rPr>
          <w:rFonts w:ascii="宋体" w:hAnsi="宋体" w:eastAsia="宋体"/>
          <w:sz w:val="24"/>
          <w:szCs w:val="24"/>
        </w:rPr>
        <w:t xml:space="preserve">    事实上，学风建设不只是学生自己的事，更是一项系统工程，离不开学校教学配套改革，专业、课程、评价体系等都需要跟进。</w:t>
      </w:r>
    </w:p>
    <w:p>
      <w:pPr>
        <w:spacing w:line="360" w:lineRule="auto"/>
        <w:jc w:val="left"/>
        <w:rPr>
          <w:rFonts w:ascii="宋体" w:hAnsi="宋体" w:eastAsia="宋体"/>
          <w:sz w:val="24"/>
          <w:szCs w:val="24"/>
        </w:rPr>
      </w:pPr>
      <w:r>
        <w:rPr>
          <w:rFonts w:ascii="宋体" w:hAnsi="宋体" w:eastAsia="宋体"/>
          <w:sz w:val="24"/>
          <w:szCs w:val="24"/>
        </w:rPr>
        <w:t xml:space="preserve">    深化本科教育教学改革，专业是重要抓手。《意见》指出要深化高校专业供给侧改革，以经济社会发展和学生职业生涯发展需求为导向，构建专业设置管理体系；以新工科、新医科、新农科、新文科建设引领带动高校专业结构调整优化和内涵提升，做强主干专业，打造特色优势专业，升级改造传统专业，坚决淘汰不能适应社会需求变化的专业。</w:t>
      </w:r>
    </w:p>
    <w:p>
      <w:pPr>
        <w:spacing w:line="360" w:lineRule="auto"/>
        <w:jc w:val="left"/>
        <w:rPr>
          <w:rFonts w:ascii="宋体" w:hAnsi="宋体" w:eastAsia="宋体"/>
          <w:sz w:val="24"/>
          <w:szCs w:val="24"/>
        </w:rPr>
      </w:pPr>
      <w:r>
        <w:rPr>
          <w:rFonts w:ascii="宋体" w:hAnsi="宋体" w:eastAsia="宋体"/>
          <w:sz w:val="24"/>
          <w:szCs w:val="24"/>
        </w:rPr>
        <w:t xml:space="preserve">    “山东大学每年招生量很大，专业数多，但我们的专业结构在2018年调整之前是不太合理的。”刘传勇说，“一方面是新科技革命和技术革命已经扑面而来，我们符合这种变化对人才需求的专业并不多；另一方面部分专业老化碎片化严重，亟待更新换代。2018年我们着力进行了专业结构的调整，新增人工智能、智能制造工程等6个专业。同时，撤销、停招一批专业，2019年本科招生专业由过去的120个降为95个，集中师资力量和教学资源，把专业建强建好。”</w:t>
      </w:r>
    </w:p>
    <w:p>
      <w:pPr>
        <w:spacing w:line="360" w:lineRule="auto"/>
        <w:jc w:val="left"/>
        <w:rPr>
          <w:rFonts w:ascii="宋体" w:hAnsi="宋体" w:eastAsia="宋体"/>
          <w:sz w:val="24"/>
          <w:szCs w:val="24"/>
        </w:rPr>
      </w:pPr>
      <w:r>
        <w:rPr>
          <w:rFonts w:ascii="宋体" w:hAnsi="宋体" w:eastAsia="宋体"/>
          <w:sz w:val="24"/>
          <w:szCs w:val="24"/>
        </w:rPr>
        <w:t xml:space="preserve">    在课程建设方面，面对传统有余现代化不足的问题，山东大学也开展了系统化建设。“将新知识新技术融入课程，以在线开放课程建设为抓手，推动改革，大力打造国家精品在线开放课程；凝练工业革命和科技革命新成果，开设新课程；实施卓越拔尖人才培养计划2.0，在传统理科的基础上扩大学科范围，将拔尖计划推进到文、史、哲、基础医学和经济，根据拔尖创新学生需求开设新课程，并将新模式、新课程向普通学生辐射，提高教育质量。”刘传勇说。</w:t>
      </w:r>
    </w:p>
    <w:p>
      <w:pPr>
        <w:spacing w:line="360" w:lineRule="auto"/>
        <w:jc w:val="left"/>
        <w:rPr>
          <w:rFonts w:ascii="宋体" w:hAnsi="宋体" w:eastAsia="宋体"/>
          <w:sz w:val="24"/>
          <w:szCs w:val="24"/>
        </w:rPr>
      </w:pPr>
      <w:r>
        <w:rPr>
          <w:rFonts w:ascii="宋体" w:hAnsi="宋体" w:eastAsia="宋体"/>
          <w:sz w:val="24"/>
          <w:szCs w:val="24"/>
        </w:rPr>
        <w:t xml:space="preserve">    天津大学则积极开展金课建设，其国家虚拟仿真技术已入选“国家级金课”。</w:t>
      </w:r>
    </w:p>
    <w:p>
      <w:pPr>
        <w:spacing w:line="360" w:lineRule="auto"/>
        <w:jc w:val="left"/>
        <w:rPr>
          <w:rFonts w:ascii="宋体" w:hAnsi="宋体" w:eastAsia="宋体"/>
          <w:sz w:val="24"/>
          <w:szCs w:val="24"/>
        </w:rPr>
      </w:pPr>
      <w:r>
        <w:rPr>
          <w:rFonts w:ascii="宋体" w:hAnsi="宋体" w:eastAsia="宋体"/>
          <w:sz w:val="24"/>
          <w:szCs w:val="24"/>
        </w:rPr>
        <w:t xml:space="preserve">    “该项目依托虚拟现实技术，利用计算机技术生成一个逼真的，具有视、听、触等多种感知的‘虚拟仿真实验室’。”天津大学教务处处长巩金龙介绍，操作者进入一个由计算机生成的交互式三维虚拟现实环境中，教师可结合实际的教学需求，最大限度地发挥虚拟元器件优势，演示现实中实验室无法完成的复杂实验、危险性实验、极端破坏性实验等，极大地提高了教学效果。</w:t>
      </w:r>
    </w:p>
    <w:p>
      <w:pPr>
        <w:spacing w:line="360" w:lineRule="auto"/>
        <w:jc w:val="left"/>
        <w:rPr>
          <w:rFonts w:ascii="宋体" w:hAnsi="宋体" w:eastAsia="宋体"/>
          <w:sz w:val="24"/>
          <w:szCs w:val="24"/>
        </w:rPr>
      </w:pPr>
      <w:r>
        <w:rPr>
          <w:rFonts w:ascii="宋体" w:hAnsi="宋体" w:eastAsia="宋体"/>
          <w:sz w:val="24"/>
          <w:szCs w:val="24"/>
        </w:rPr>
        <w:t xml:space="preserve">    按照严把考试和毕业出口关的要求，2018年下学期中国地质大学（武汉）一次性开除了7名严重违纪学生；在2019年上学期考试季，该校学生作弊率下降到多年来最低，考风考纪得到了根本好转。对于教育部严格推进的取消清考政策，从去年开始对学生开展多方警示和教育，逐步消除学生寄希望于清考的不实幻想，为部分学业困难的学生针对性开班进行学业重修，对已学满六年（规定最长本科学习年限）仍未达到毕业条件的学生采取结业离校。</w:t>
      </w:r>
    </w:p>
    <w:p>
      <w:pPr>
        <w:spacing w:line="360" w:lineRule="auto"/>
        <w:ind w:firstLine="480" w:firstLineChars="200"/>
        <w:jc w:val="left"/>
        <w:rPr>
          <w:rFonts w:ascii="楷体_GB2312" w:hAnsi="宋体" w:eastAsia="楷体_GB2312" w:cs="Times New Roman"/>
          <w:sz w:val="24"/>
          <w:szCs w:val="24"/>
        </w:rPr>
      </w:pPr>
      <w:r>
        <w:rPr>
          <w:rFonts w:ascii="宋体" w:hAnsi="宋体" w:eastAsia="宋体"/>
          <w:sz w:val="24"/>
          <w:szCs w:val="24"/>
        </w:rPr>
        <w:t>“随着‘严在地大’学风建设的不断推进，学风得到有效改善。”中国地质大学（武汉）学工处处长邬海峰介绍，据统计，在过去一年中，学生制定学业规划的比例达到92.8%，专业满意度高达94.76%，90.19%的学生每天课余学习时长保持在1小时以上，课堂从不迟到从不早退的出勤率较2017年提高26.7%，玩手机学生同比下降11.51%，学生发现身边日常学习中不良学术行为不断减少。</w:t>
      </w:r>
      <w:r>
        <w:rPr>
          <w:rFonts w:hint="eastAsia" w:ascii="楷体_GB2312" w:hAnsi="宋体" w:eastAsia="楷体_GB2312" w:cs="Times New Roman"/>
          <w:sz w:val="24"/>
          <w:szCs w:val="24"/>
        </w:rPr>
        <w:t>（来源：《中国教育报》。记者：董鲁皖龙 万玉凤）</w:t>
      </w:r>
    </w:p>
    <w:p>
      <w:pPr>
        <w:spacing w:line="360" w:lineRule="auto"/>
        <w:rPr>
          <w:rFonts w:ascii="宋体" w:hAnsi="宋体" w:eastAsia="宋体" w:cs="Times New Roman"/>
          <w:b/>
          <w:sz w:val="30"/>
          <w:szCs w:val="30"/>
        </w:rPr>
      </w:pPr>
      <w:r>
        <w:rPr>
          <w:rFonts w:hint="eastAsia" w:ascii="宋体" w:hAnsi="宋体" w:eastAsia="宋体" w:cs="Times New Roman"/>
          <w:b/>
          <w:sz w:val="30"/>
          <w:szCs w:val="30"/>
        </w:rPr>
        <w:t>高教研究</w:t>
      </w:r>
    </w:p>
    <w:p>
      <w:pPr>
        <w:pStyle w:val="3"/>
        <w:jc w:val="center"/>
        <w:rPr>
          <w:rFonts w:ascii="宋体" w:hAnsi="宋体" w:eastAsia="宋体"/>
          <w:sz w:val="30"/>
          <w:szCs w:val="30"/>
        </w:rPr>
      </w:pPr>
      <w:bookmarkStart w:id="10" w:name="_Toc38614670"/>
      <w:r>
        <w:rPr>
          <w:rFonts w:hint="eastAsia" w:ascii="宋体" w:hAnsi="宋体" w:eastAsia="宋体"/>
          <w:sz w:val="30"/>
          <w:szCs w:val="30"/>
        </w:rPr>
        <w:t>构建中国特色高校评价体系刻不容缓</w:t>
      </w:r>
      <w:bookmarkEnd w:id="10"/>
      <w:bookmarkStart w:id="18" w:name="_GoBack"/>
      <w:bookmarkEnd w:id="18"/>
    </w:p>
    <w:p>
      <w:pPr>
        <w:spacing w:line="360" w:lineRule="auto"/>
        <w:ind w:firstLine="480" w:firstLineChars="200"/>
        <w:rPr>
          <w:rFonts w:ascii="宋体" w:hAnsi="宋体" w:eastAsia="宋体"/>
          <w:sz w:val="24"/>
          <w:szCs w:val="24"/>
        </w:rPr>
      </w:pPr>
      <w:r>
        <w:rPr>
          <w:rFonts w:hint="eastAsia" w:ascii="宋体" w:hAnsi="宋体" w:eastAsia="宋体"/>
          <w:sz w:val="24"/>
          <w:szCs w:val="24"/>
        </w:rPr>
        <w:t>习近平总书记在</w:t>
      </w:r>
      <w:r>
        <w:rPr>
          <w:rFonts w:ascii="宋体" w:hAnsi="宋体" w:eastAsia="宋体"/>
          <w:sz w:val="24"/>
          <w:szCs w:val="24"/>
        </w:rPr>
        <w:t>2016年全国高校思想政治工作会议上对我国高等教育发展方向提出了“四个服务”的明确要求。在2018年全国教育大会上，习近平总书记指出，要健全立德树人落实机制，扭转不科学的教育评价导向。坚决克服唯分数、唯升学、唯文凭、唯论文、唯帽子的顽瘴痼疾，从根本上解决教育评价指挥棒问题。</w:t>
      </w:r>
    </w:p>
    <w:p>
      <w:pPr>
        <w:spacing w:line="360" w:lineRule="auto"/>
        <w:rPr>
          <w:rFonts w:ascii="宋体" w:hAnsi="宋体" w:eastAsia="宋体"/>
          <w:sz w:val="24"/>
          <w:szCs w:val="24"/>
        </w:rPr>
      </w:pPr>
      <w:r>
        <w:rPr>
          <w:rFonts w:ascii="宋体" w:hAnsi="宋体" w:eastAsia="宋体"/>
          <w:sz w:val="24"/>
          <w:szCs w:val="24"/>
        </w:rPr>
        <w:t xml:space="preserve">    近日，为落实习近平总书记重要讲话精神，教育部、科技部印发了《关于规范高等学校SCI论文相关指标使用、树立正确评价导向的若干意见》，引发各界对如何破除论文“SCI”至上、如何完善高校评价的反思。如何辩证看待当下流行的各种大学排名，如何构建具有中国特色的高校评价体系，从而纠正高校评价导向、落实立德树人机制，是当前亟待解决的关键问题。</w:t>
      </w:r>
    </w:p>
    <w:p>
      <w:pPr>
        <w:spacing w:line="360" w:lineRule="auto"/>
        <w:rPr>
          <w:rFonts w:ascii="宋体" w:hAnsi="宋体" w:eastAsia="宋体"/>
          <w:b/>
          <w:bCs/>
          <w:sz w:val="24"/>
          <w:szCs w:val="24"/>
        </w:rPr>
      </w:pPr>
      <w:r>
        <w:rPr>
          <w:rFonts w:ascii="宋体" w:hAnsi="宋体" w:eastAsia="宋体"/>
          <w:sz w:val="24"/>
          <w:szCs w:val="24"/>
        </w:rPr>
        <w:t xml:space="preserve">    </w:t>
      </w:r>
      <w:r>
        <w:rPr>
          <w:rFonts w:ascii="宋体" w:hAnsi="宋体" w:eastAsia="宋体"/>
          <w:b/>
          <w:bCs/>
          <w:sz w:val="24"/>
          <w:szCs w:val="24"/>
        </w:rPr>
        <w:t>辩证看待世界大学排名</w:t>
      </w:r>
    </w:p>
    <w:p>
      <w:pPr>
        <w:spacing w:line="360" w:lineRule="auto"/>
        <w:rPr>
          <w:rFonts w:ascii="宋体" w:hAnsi="宋体" w:eastAsia="宋体"/>
          <w:sz w:val="24"/>
          <w:szCs w:val="24"/>
        </w:rPr>
      </w:pPr>
      <w:r>
        <w:rPr>
          <w:rFonts w:ascii="宋体" w:hAnsi="宋体" w:eastAsia="宋体"/>
          <w:sz w:val="24"/>
          <w:szCs w:val="24"/>
        </w:rPr>
        <w:t xml:space="preserve">    据不完全统计，目前已有超过45个国家进行国内大学排名，出现了数十种世界大学排名。目前公认的四大世界大学排名是《美国新闻与世界报道》（US News &amp; World Report）世界大学排名、英国QS世界大学排名、英国《泰晤士高等教育》世界大学排名（THE）和上海交通大学世界大学学术排名（ARWU）。</w:t>
      </w:r>
    </w:p>
    <w:p>
      <w:pPr>
        <w:spacing w:line="360" w:lineRule="auto"/>
        <w:rPr>
          <w:rFonts w:ascii="宋体" w:hAnsi="宋体" w:eastAsia="宋体"/>
          <w:sz w:val="24"/>
          <w:szCs w:val="24"/>
        </w:rPr>
      </w:pPr>
      <w:r>
        <w:rPr>
          <w:rFonts w:ascii="宋体" w:hAnsi="宋体" w:eastAsia="宋体"/>
          <w:sz w:val="24"/>
          <w:szCs w:val="24"/>
        </w:rPr>
        <w:t xml:space="preserve">    当前，我国各高校尤其是重点高校，特别注重提升在四大排名榜的名次，甚至将其等同于高校实力排名。每年高考报名之际，很多老师、家长、学生也会参考这些大学排名作为考生志愿填报的重要依据。国内很多高校也存在跟风现象，盲目对标这些排名的评价指标进行高校办学方面的改进，导致我国很多高校偏离应有的办学导向。我们要辩证看待世界大学排名，理性认识这些排名中诸多不当之处。中国高校只能将之作为对标国际可比标准的</w:t>
      </w:r>
      <w:r>
        <w:rPr>
          <w:rFonts w:hint="eastAsia" w:ascii="宋体" w:hAnsi="宋体" w:eastAsia="宋体"/>
          <w:sz w:val="24"/>
          <w:szCs w:val="24"/>
        </w:rPr>
        <w:t>一个参考，绝不能盲目跟风。</w:t>
      </w:r>
    </w:p>
    <w:p>
      <w:pPr>
        <w:spacing w:line="360" w:lineRule="auto"/>
        <w:rPr>
          <w:rFonts w:ascii="宋体" w:hAnsi="宋体" w:eastAsia="宋体"/>
          <w:sz w:val="24"/>
          <w:szCs w:val="24"/>
        </w:rPr>
      </w:pPr>
      <w:r>
        <w:rPr>
          <w:rFonts w:ascii="宋体" w:hAnsi="宋体" w:eastAsia="宋体"/>
          <w:sz w:val="24"/>
          <w:szCs w:val="24"/>
        </w:rPr>
        <w:t xml:space="preserve">    从四大排名的评价指标看，存在诸多西方文化优先的因素，不利于构建中国特色的高校评价体系。QS排名的国际化指标中有国际教师和国际学生的比例，在所有评价指标中占比达10%。从中国文化的独特性来看，国际化这一指标并不适用于评估中国高校。借鉴《美国新闻与世界报道》世界大学排名对美国大学排名中的“校友捐赠”（占5%）评价指标，上海交通大学的中国最好大学排名指标中于2018年增加了“社会捐赠”（占比5%），包含校友和非校友的捐赠。但该指标用于中国大学排名存在局限性。中国高校以公立大学为主体，办学经费主要源于国家财政拨款，也没有校友捐赠的传统。从QS评价指标看，更多偏重于理工科，不适合评价我国所有高校。</w:t>
      </w:r>
    </w:p>
    <w:p>
      <w:pPr>
        <w:spacing w:line="360" w:lineRule="auto"/>
        <w:rPr>
          <w:rFonts w:ascii="宋体" w:hAnsi="宋体" w:eastAsia="宋体"/>
          <w:sz w:val="24"/>
          <w:szCs w:val="24"/>
        </w:rPr>
      </w:pPr>
      <w:r>
        <w:rPr>
          <w:rFonts w:ascii="宋体" w:hAnsi="宋体" w:eastAsia="宋体"/>
          <w:sz w:val="24"/>
          <w:szCs w:val="24"/>
        </w:rPr>
        <w:t xml:space="preserve">    从评价方法看，四大排名过于偏重定量指标，应注重定性指标与定量指标的融合评价。世界大学排名都非常重视科研文献的定量评估，比如科研论文数和高引用率，非常强调定量指标的权重，并不适合于衡量人文见长或职业特色发展的高校。QS排名中的“学术声誉”评价指标占比最高（占40%），但该评价指标中主要收集的专家样本过于集中在欧洲，导致评价结果对其他地区如中国大学不利。</w:t>
      </w:r>
    </w:p>
    <w:p>
      <w:pPr>
        <w:spacing w:line="360" w:lineRule="auto"/>
        <w:rPr>
          <w:rFonts w:ascii="宋体" w:hAnsi="宋体" w:eastAsia="宋体"/>
          <w:sz w:val="24"/>
          <w:szCs w:val="24"/>
        </w:rPr>
      </w:pPr>
      <w:r>
        <w:rPr>
          <w:rFonts w:ascii="宋体" w:hAnsi="宋体" w:eastAsia="宋体"/>
          <w:sz w:val="24"/>
          <w:szCs w:val="24"/>
        </w:rPr>
        <w:t xml:space="preserve">    从评价依据看，四大排名选用的数据库或样本都是欧美国家的数据库，</w:t>
      </w:r>
      <w:r>
        <w:rPr>
          <w:rFonts w:hint="eastAsia" w:ascii="宋体" w:hAnsi="宋体" w:eastAsia="宋体"/>
          <w:sz w:val="24"/>
          <w:szCs w:val="24"/>
        </w:rPr>
        <w:t>这些</w:t>
      </w:r>
      <w:r>
        <w:rPr>
          <w:rFonts w:ascii="宋体" w:hAnsi="宋体" w:eastAsia="宋体"/>
          <w:sz w:val="24"/>
          <w:szCs w:val="24"/>
        </w:rPr>
        <w:t>数据库虽是国际可比标准下的权威数据库，但对于非英语母语国家的大学如中国大学存在不公。对评估中国高校有参考价值，但不能作为唯一的评价方式过度追捧。</w:t>
      </w:r>
    </w:p>
    <w:p>
      <w:pPr>
        <w:spacing w:line="360" w:lineRule="auto"/>
        <w:rPr>
          <w:rFonts w:ascii="宋体" w:hAnsi="宋体" w:eastAsia="宋体"/>
          <w:sz w:val="24"/>
          <w:szCs w:val="24"/>
        </w:rPr>
      </w:pPr>
      <w:r>
        <w:rPr>
          <w:rFonts w:ascii="宋体" w:hAnsi="宋体" w:eastAsia="宋体"/>
          <w:sz w:val="24"/>
          <w:szCs w:val="24"/>
        </w:rPr>
        <w:t xml:space="preserve">    从评价目的看，世界大学排名背后存在一定程度的商业利益导向，不符合中国高校立德树人的办学目的。国外大学排名的背后存在一定程度的商业利益目的，排名主要从各国利益出发，通过提高大学排名加大对国际学生的吸引力，通过增加学费来提高学校经费收入。中国的高校以公办为主，中国进行大学排名的目的不是为了通过提高学费来提高经费收入，而是通过排名诊断出各高校在教育质量上的不足，以补短板，促进高校水平的提升。</w:t>
      </w:r>
    </w:p>
    <w:p>
      <w:pPr>
        <w:spacing w:line="360" w:lineRule="auto"/>
        <w:rPr>
          <w:rFonts w:ascii="宋体" w:hAnsi="宋体" w:eastAsia="宋体"/>
          <w:sz w:val="24"/>
          <w:szCs w:val="24"/>
        </w:rPr>
      </w:pPr>
      <w:r>
        <w:rPr>
          <w:rFonts w:ascii="宋体" w:hAnsi="宋体" w:eastAsia="宋体"/>
          <w:sz w:val="24"/>
          <w:szCs w:val="24"/>
        </w:rPr>
        <w:t xml:space="preserve">    中国高校不仅要完成高质量的专业知识教学，而且要聚焦立德树人，对学生全方位、全过程的成长发展负责。为此，绝不能盲目跟风西方文化因素主导的评价指标，而是要自主构建有本国特色的高校评价体系。</w:t>
      </w:r>
    </w:p>
    <w:p>
      <w:pPr>
        <w:spacing w:line="360" w:lineRule="auto"/>
        <w:rPr>
          <w:rFonts w:ascii="宋体" w:hAnsi="宋体" w:eastAsia="宋体"/>
          <w:b/>
          <w:bCs/>
          <w:sz w:val="24"/>
          <w:szCs w:val="24"/>
        </w:rPr>
      </w:pPr>
      <w:r>
        <w:rPr>
          <w:rFonts w:ascii="宋体" w:hAnsi="宋体" w:eastAsia="宋体"/>
          <w:sz w:val="24"/>
          <w:szCs w:val="24"/>
        </w:rPr>
        <w:t xml:space="preserve">    </w:t>
      </w:r>
      <w:r>
        <w:rPr>
          <w:rFonts w:ascii="宋体" w:hAnsi="宋体" w:eastAsia="宋体"/>
          <w:b/>
          <w:bCs/>
          <w:sz w:val="24"/>
          <w:szCs w:val="24"/>
        </w:rPr>
        <w:t>构建中国特色的高校评价体系</w:t>
      </w:r>
    </w:p>
    <w:p>
      <w:pPr>
        <w:spacing w:line="360" w:lineRule="auto"/>
        <w:rPr>
          <w:rFonts w:ascii="宋体" w:hAnsi="宋体" w:eastAsia="宋体"/>
          <w:sz w:val="24"/>
          <w:szCs w:val="24"/>
        </w:rPr>
      </w:pPr>
      <w:r>
        <w:rPr>
          <w:rFonts w:ascii="宋体" w:hAnsi="宋体" w:eastAsia="宋体"/>
          <w:sz w:val="24"/>
          <w:szCs w:val="24"/>
        </w:rPr>
        <w:t xml:space="preserve">    为了进一步落实好习近平总书记关于“四个服务”的高校发展方向、“扭转不科学的教育评价导向”，应聚焦立德树人，强化分类评价，结合我国高校特色，构建一个科学有效的高校评价体系。</w:t>
      </w:r>
    </w:p>
    <w:p>
      <w:pPr>
        <w:spacing w:line="360" w:lineRule="auto"/>
        <w:rPr>
          <w:rFonts w:ascii="宋体" w:hAnsi="宋体" w:eastAsia="宋体"/>
          <w:sz w:val="24"/>
          <w:szCs w:val="24"/>
        </w:rPr>
      </w:pPr>
      <w:r>
        <w:rPr>
          <w:rFonts w:ascii="宋体" w:hAnsi="宋体" w:eastAsia="宋体"/>
          <w:sz w:val="24"/>
          <w:szCs w:val="24"/>
        </w:rPr>
        <w:t xml:space="preserve">   </w:t>
      </w:r>
      <w:r>
        <w:rPr>
          <w:rFonts w:ascii="宋体" w:hAnsi="宋体" w:eastAsia="宋体"/>
          <w:b/>
          <w:bCs/>
          <w:sz w:val="24"/>
          <w:szCs w:val="24"/>
        </w:rPr>
        <w:t xml:space="preserve"> </w:t>
      </w:r>
      <w:r>
        <w:rPr>
          <w:rFonts w:ascii="宋体" w:hAnsi="宋体" w:eastAsia="宋体"/>
          <w:sz w:val="24"/>
          <w:szCs w:val="24"/>
        </w:rPr>
        <w:t>聚焦立德树人，符合培养社会主义事业建设者和接班人的特色。</w:t>
      </w:r>
    </w:p>
    <w:p>
      <w:pPr>
        <w:spacing w:line="360" w:lineRule="auto"/>
        <w:ind w:firstLine="480" w:firstLineChars="200"/>
        <w:rPr>
          <w:rFonts w:ascii="宋体" w:hAnsi="宋体" w:eastAsia="宋体"/>
          <w:sz w:val="24"/>
          <w:szCs w:val="24"/>
        </w:rPr>
      </w:pPr>
      <w:r>
        <w:rPr>
          <w:rFonts w:ascii="宋体" w:hAnsi="宋体" w:eastAsia="宋体"/>
          <w:sz w:val="24"/>
          <w:szCs w:val="24"/>
        </w:rPr>
        <w:t>立德树人既是我国教育事业发展的根本任务，也是我国高校评价的目标。习近平总书记要求高校发展方向中应体现“为人民服务”的特色，这种人民性的导向应是中国高校评价体系的鲜明特色。四大排名都把高校科研实力作为重要指标给予高度重视，但普遍对人才培养的评估偏弱。立德树人是中国高校发展的核心，是培养新时代中国特色社会主义高层次人才的重要方面，也应成为中国特色高校评估的重要指标。应思考如何确定学生品德和思想政治素质的定性评估指标，如何采取客观合理的评价方法进行评估，切实为加快推进国家治理现代化培养各级各类的高层次人才</w:t>
      </w:r>
      <w:r>
        <w:rPr>
          <w:rFonts w:hint="eastAsia" w:ascii="宋体" w:hAnsi="宋体" w:eastAsia="宋体"/>
          <w:sz w:val="24"/>
          <w:szCs w:val="24"/>
        </w:rPr>
        <w:t>服务。</w:t>
      </w:r>
    </w:p>
    <w:p>
      <w:pPr>
        <w:spacing w:line="360" w:lineRule="auto"/>
        <w:rPr>
          <w:rFonts w:ascii="宋体" w:hAnsi="宋体" w:eastAsia="宋体"/>
          <w:sz w:val="24"/>
          <w:szCs w:val="24"/>
        </w:rPr>
      </w:pPr>
      <w:r>
        <w:rPr>
          <w:rFonts w:ascii="宋体" w:hAnsi="宋体" w:eastAsia="宋体"/>
          <w:sz w:val="24"/>
          <w:szCs w:val="24"/>
        </w:rPr>
        <w:t xml:space="preserve">    强化分类评价，符合中国高等教育超规模与多类型的特色。</w:t>
      </w:r>
    </w:p>
    <w:p>
      <w:pPr>
        <w:spacing w:line="360" w:lineRule="auto"/>
        <w:rPr>
          <w:rFonts w:ascii="宋体" w:hAnsi="宋体" w:eastAsia="宋体"/>
          <w:sz w:val="24"/>
          <w:szCs w:val="24"/>
        </w:rPr>
      </w:pPr>
      <w:r>
        <w:rPr>
          <w:rFonts w:ascii="宋体" w:hAnsi="宋体" w:eastAsia="宋体"/>
          <w:sz w:val="24"/>
          <w:szCs w:val="24"/>
        </w:rPr>
        <w:t xml:space="preserve">    中国拥有世界上规模最大的高等教育体系。2018年，中国共有高校2663所，全国各类高等教育在学总规模达到3833万人。高等教育毛入学率达到48.1%。美国虽然有4000多所高校，在校生却仅1700万人，不足中国的一半。而英国人口6600多万，德国人口8300多万，各级各类高校不足1000所，远少于美国，比中国更少。加拿大、澳大利亚的人口数仅3000多万，一国之人口和中国高校在校生人数类似。中国拥有世界上最大规模的高等教育，应构建符合中国超大教育规模的独特高校评价体系。</w:t>
      </w:r>
    </w:p>
    <w:p>
      <w:pPr>
        <w:spacing w:line="360" w:lineRule="auto"/>
        <w:rPr>
          <w:rFonts w:ascii="宋体" w:hAnsi="宋体" w:eastAsia="宋体"/>
          <w:sz w:val="24"/>
          <w:szCs w:val="24"/>
        </w:rPr>
      </w:pPr>
      <w:r>
        <w:rPr>
          <w:rFonts w:ascii="宋体" w:hAnsi="宋体" w:eastAsia="宋体"/>
          <w:sz w:val="24"/>
          <w:szCs w:val="24"/>
        </w:rPr>
        <w:t xml:space="preserve">    我国拥有研究型、应用型、技术型等不同类型的高校。研究型高校应注重科研实力，应用型高校应加强实践教学，技术型高校的科学研究则应侧重于服务地方经济社会发展。除教育部所属的几十所高校外，我国大多数高校是地方所属的高校，其中很多是地方高职院校。因此，应根据高校的不同类型、不同层次进行分类评价，彰显我国高校评价体系的中国特色。</w:t>
      </w:r>
    </w:p>
    <w:p>
      <w:pPr>
        <w:spacing w:line="360" w:lineRule="auto"/>
        <w:rPr>
          <w:rFonts w:ascii="宋体" w:hAnsi="宋体" w:eastAsia="宋体"/>
          <w:sz w:val="24"/>
          <w:szCs w:val="24"/>
        </w:rPr>
      </w:pPr>
      <w:r>
        <w:rPr>
          <w:rFonts w:ascii="宋体" w:hAnsi="宋体" w:eastAsia="宋体"/>
          <w:sz w:val="24"/>
          <w:szCs w:val="24"/>
        </w:rPr>
        <w:t xml:space="preserve">    关注产学研融合，符合中国高校服务国家和地方的产业发展战略的特色。</w:t>
      </w:r>
    </w:p>
    <w:p>
      <w:pPr>
        <w:spacing w:line="360" w:lineRule="auto"/>
        <w:rPr>
          <w:rFonts w:ascii="宋体" w:hAnsi="宋体" w:eastAsia="宋体"/>
          <w:sz w:val="24"/>
          <w:szCs w:val="24"/>
        </w:rPr>
      </w:pPr>
      <w:r>
        <w:rPr>
          <w:rFonts w:ascii="宋体" w:hAnsi="宋体" w:eastAsia="宋体"/>
          <w:sz w:val="24"/>
          <w:szCs w:val="24"/>
        </w:rPr>
        <w:t xml:space="preserve">    建设教育强国是我国教育发展战略。高校发展应与国家和地方的产业发展战略对接，成为国家和地方经济社会发展的强有力人才支撑基地。应突出服务国家发展战略，面向国家发展重大需求，主动对接其人才需求类型，培养相应人才。我国有大量地方性高等院校，应主动对标地方产业经济发展战略，为本地提供高素质的人才资源。四大排名的评价指标中都缺乏高校与产业合作强度和合作绩效的评价指标，应结合我国高校这一战略定位特色，全面构建教学、科研、产业三者融合协同发展的评价体系，在中国高校评价体系中增加校企联合研发项目、参与咨询顾问等相应指</w:t>
      </w:r>
      <w:r>
        <w:rPr>
          <w:rFonts w:hint="eastAsia" w:ascii="宋体" w:hAnsi="宋体" w:eastAsia="宋体"/>
          <w:sz w:val="24"/>
          <w:szCs w:val="24"/>
        </w:rPr>
        <w:t>标。通过完善考核指标，也可以倒逼地方高职院校基于地方经济发展趋势、市场走向和学生需求快速调整专业方向和教学内容，提升教育教学质量，切实发挥促进高校服务国家和地方产业发展的功能，加快推进其走特色化发展的道路。</w:t>
      </w:r>
    </w:p>
    <w:p>
      <w:pPr>
        <w:spacing w:line="360" w:lineRule="auto"/>
        <w:rPr>
          <w:rFonts w:ascii="宋体" w:hAnsi="宋体" w:eastAsia="宋体"/>
          <w:b/>
          <w:bCs/>
          <w:sz w:val="24"/>
          <w:szCs w:val="24"/>
        </w:rPr>
      </w:pPr>
      <w:r>
        <w:rPr>
          <w:rFonts w:ascii="宋体" w:hAnsi="宋体" w:eastAsia="宋体"/>
          <w:sz w:val="24"/>
          <w:szCs w:val="24"/>
        </w:rPr>
        <w:t xml:space="preserve">    </w:t>
      </w:r>
      <w:r>
        <w:rPr>
          <w:rFonts w:ascii="宋体" w:hAnsi="宋体" w:eastAsia="宋体"/>
          <w:b/>
          <w:bCs/>
          <w:sz w:val="24"/>
          <w:szCs w:val="24"/>
        </w:rPr>
        <w:t>时刻坚守立德树人的初心</w:t>
      </w:r>
    </w:p>
    <w:p>
      <w:pPr>
        <w:spacing w:line="360" w:lineRule="auto"/>
        <w:rPr>
          <w:rFonts w:ascii="宋体" w:hAnsi="宋体" w:eastAsia="宋体"/>
          <w:sz w:val="24"/>
          <w:szCs w:val="24"/>
        </w:rPr>
      </w:pPr>
      <w:r>
        <w:rPr>
          <w:rFonts w:ascii="宋体" w:hAnsi="宋体" w:eastAsia="宋体"/>
          <w:sz w:val="24"/>
          <w:szCs w:val="24"/>
        </w:rPr>
        <w:t xml:space="preserve">    西式大学排名与中国高校的具体实际存在诸多不适，应尽快建立具有中国特色的高校评价体系。</w:t>
      </w:r>
    </w:p>
    <w:p>
      <w:pPr>
        <w:spacing w:line="360" w:lineRule="auto"/>
        <w:rPr>
          <w:rFonts w:ascii="宋体" w:hAnsi="宋体" w:eastAsia="宋体"/>
          <w:sz w:val="24"/>
          <w:szCs w:val="24"/>
        </w:rPr>
      </w:pPr>
      <w:r>
        <w:rPr>
          <w:rFonts w:ascii="宋体" w:hAnsi="宋体" w:eastAsia="宋体"/>
          <w:sz w:val="24"/>
          <w:szCs w:val="24"/>
        </w:rPr>
        <w:t xml:space="preserve">    应聚焦立德树人的教育目标，从科学研究、人才培养（教学）、社会服务（产业）等方面构建彰显中国特色的高校评价体系。要警惕当下把各种具体的评价指标当作评价目的，而误导我国高校发展方向的问题。</w:t>
      </w:r>
    </w:p>
    <w:p>
      <w:pPr>
        <w:spacing w:line="360" w:lineRule="auto"/>
        <w:rPr>
          <w:rFonts w:ascii="宋体" w:hAnsi="宋体" w:eastAsia="宋体"/>
          <w:sz w:val="28"/>
          <w:szCs w:val="28"/>
        </w:rPr>
      </w:pPr>
      <w:r>
        <w:rPr>
          <w:rFonts w:ascii="宋体" w:hAnsi="宋体" w:eastAsia="宋体"/>
          <w:sz w:val="24"/>
          <w:szCs w:val="24"/>
        </w:rPr>
        <w:t xml:space="preserve">    在构建指标体系的过程中，应时刻坚守立德树人的初心，通过大量科学研究，探索符合该评价目的的各种关键影响因素，据此确立具体的评价指标。尤其要加大对创新人才培养、品德和思想政治素质、地方高校特色化发展等方面指标体系的科研攻关，为科学合理地构建中国特色的高校评价体系奠定研究基础。</w:t>
      </w:r>
      <w:r>
        <w:rPr>
          <w:rFonts w:ascii="楷体_GB2312" w:hAnsi="宋体" w:eastAsia="楷体_GB2312" w:cs="Times New Roman"/>
          <w:sz w:val="24"/>
          <w:szCs w:val="24"/>
        </w:rPr>
        <w:t>（</w:t>
      </w:r>
      <w:r>
        <w:rPr>
          <w:rFonts w:hint="eastAsia" w:ascii="楷体_GB2312" w:hAnsi="宋体" w:eastAsia="楷体_GB2312" w:cs="Times New Roman"/>
          <w:sz w:val="24"/>
          <w:szCs w:val="24"/>
        </w:rPr>
        <w:t>来源：中国教育新闻网。</w:t>
      </w:r>
      <w:r>
        <w:rPr>
          <w:rFonts w:ascii="楷体_GB2312" w:hAnsi="宋体" w:eastAsia="楷体_GB2312" w:cs="Times New Roman"/>
          <w:sz w:val="24"/>
          <w:szCs w:val="24"/>
        </w:rPr>
        <w:t>作者</w:t>
      </w:r>
      <w:r>
        <w:rPr>
          <w:rFonts w:hint="eastAsia" w:ascii="楷体_GB2312" w:hAnsi="宋体" w:eastAsia="楷体_GB2312" w:cs="Times New Roman"/>
          <w:sz w:val="24"/>
          <w:szCs w:val="24"/>
        </w:rPr>
        <w:t xml:space="preserve">：王瑰曙 </w:t>
      </w:r>
      <w:r>
        <w:rPr>
          <w:rFonts w:ascii="楷体_GB2312" w:hAnsi="宋体" w:eastAsia="楷体_GB2312" w:cs="Times New Roman"/>
          <w:sz w:val="24"/>
          <w:szCs w:val="24"/>
        </w:rPr>
        <w:t>湖南省教育厅党组副书记、副厅长、省教育工委副书记）</w:t>
      </w:r>
    </w:p>
    <w:p>
      <w:pPr>
        <w:pStyle w:val="3"/>
        <w:jc w:val="center"/>
        <w:rPr>
          <w:rFonts w:ascii="宋体" w:hAnsi="宋体" w:eastAsia="宋体"/>
          <w:sz w:val="30"/>
          <w:szCs w:val="30"/>
        </w:rPr>
      </w:pPr>
      <w:bookmarkStart w:id="11" w:name="_Toc38614671"/>
      <w:r>
        <w:rPr>
          <w:rFonts w:hint="eastAsia" w:ascii="宋体" w:hAnsi="宋体" w:eastAsia="宋体"/>
          <w:sz w:val="30"/>
          <w:szCs w:val="30"/>
        </w:rPr>
        <w:t>高校如何面对生涯规划教育新要求</w:t>
      </w:r>
      <w:bookmarkEnd w:id="11"/>
    </w:p>
    <w:p>
      <w:pPr>
        <w:spacing w:line="360" w:lineRule="auto"/>
        <w:ind w:firstLine="480" w:firstLineChars="200"/>
        <w:rPr>
          <w:rFonts w:ascii="宋体" w:hAnsi="宋体" w:eastAsia="宋体"/>
          <w:sz w:val="24"/>
          <w:szCs w:val="24"/>
        </w:rPr>
      </w:pPr>
      <w:r>
        <w:rPr>
          <w:rFonts w:hint="eastAsia" w:ascii="宋体" w:hAnsi="宋体" w:eastAsia="宋体"/>
          <w:sz w:val="24"/>
          <w:szCs w:val="24"/>
        </w:rPr>
        <w:t>当前，新冠肺炎疫情对社会造成全方位影响，不仅冲击了公共卫生体系，对社会经济发展也带来不小的挑战。面对当前疫情造成的短期和长期影响，如何引导大学生正确、积极、主动应对都是非常重要的问题。从人力资源管理的角度看，“目标定位”“战略规划”“职业发展”是高校人才生涯规划教育的重要内容，对于提高人才未来竞争力至关重要。</w:t>
      </w:r>
    </w:p>
    <w:p>
      <w:pPr>
        <w:spacing w:line="360" w:lineRule="auto"/>
        <w:ind w:firstLine="482" w:firstLineChars="200"/>
        <w:rPr>
          <w:rFonts w:ascii="宋体" w:hAnsi="宋体" w:eastAsia="宋体"/>
          <w:b/>
          <w:bCs/>
          <w:sz w:val="24"/>
          <w:szCs w:val="24"/>
        </w:rPr>
      </w:pPr>
      <w:r>
        <w:rPr>
          <w:rFonts w:ascii="宋体" w:hAnsi="宋体" w:eastAsia="宋体"/>
          <w:b/>
          <w:bCs/>
          <w:sz w:val="24"/>
          <w:szCs w:val="24"/>
        </w:rPr>
        <w:t>强化“价值理念”，在目标定位上有新思考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早在</w:t>
      </w:r>
      <w:r>
        <w:rPr>
          <w:rFonts w:ascii="宋体" w:hAnsi="宋体" w:eastAsia="宋体"/>
          <w:sz w:val="24"/>
          <w:szCs w:val="24"/>
        </w:rPr>
        <w:t>20世纪中期，管理学大师彼得·德鲁克在他的著作《管理的实践》中最先提出了“目标管理”的概念。他指出，“没有目标，是一切问题的根源”。今年2月3日教育部发布《教育部致全国大学生的一封信》，呼吁全国大学生面对疫情时要坚定理想、信念，做“守护者”“修行者”和“识途者”。去年中共中央、国务院印发的《中国教育现代化2035》也提出，推进教育现代化的八大基本理念：更加注重以德为先、更加注重全面发展、更加注重面向人人、更加注重终身学习、更加注重因材施教、更加注重知行合一、更加注重融合发展、更加注重共建共享。</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面对疫情，高校要在坚定理想信念上下功夫，引导大学生将“个人”和“社会”结合起来，树立正确的人生观、价值观、世界观和目标观，营造奋发有为的良好氛围。突出立德树人，广泛开展“使命和远景”的教育活动，厚植爱国主义的家国情怀，树立远大人生目标，肩负起时代赋予的使命与责任。突出教育引导，指导大学生理性看待逆境和顺境、机会和挑战，处理好短期目标和长期目标的关系，真正做到思想“不懈怠”、目标“不犹豫”、行动“不拖延”。突出榜样示范，开展“最美医生”、“最美护士”、“最美志愿者”宣传活动，大力宣传各行业、各专业优秀人才尤其是当代青年在抗击疫情中的先进事迹，倡导理想、价值和信念的有机融合，全面践行社会主义核心价值观，实现更高层次的人生追求。</w:t>
      </w:r>
    </w:p>
    <w:p>
      <w:pPr>
        <w:spacing w:line="360" w:lineRule="auto"/>
        <w:ind w:firstLine="482" w:firstLineChars="200"/>
        <w:rPr>
          <w:rFonts w:ascii="宋体" w:hAnsi="宋体" w:eastAsia="宋体"/>
          <w:b/>
          <w:bCs/>
          <w:sz w:val="24"/>
          <w:szCs w:val="24"/>
        </w:rPr>
      </w:pPr>
      <w:r>
        <w:rPr>
          <w:rFonts w:ascii="宋体" w:hAnsi="宋体" w:eastAsia="宋体"/>
          <w:b/>
          <w:bCs/>
          <w:sz w:val="24"/>
          <w:szCs w:val="24"/>
        </w:rPr>
        <w:t>强化“发展导向”，在战略规划上有新方向</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当前，中国劳动力市场职业发展形态已经呈现就业领域新、技术手段新、组织方式新、职业发展观念新等特点，高校毕业生就业面临一定压力。从短期上看，疫情会对高校毕业生就业产生一定影响。</w:t>
      </w:r>
      <w:r>
        <w:rPr>
          <w:rFonts w:ascii="宋体" w:hAnsi="宋体" w:eastAsia="宋体"/>
          <w:sz w:val="24"/>
          <w:szCs w:val="24"/>
        </w:rPr>
        <w:t>2月25日，国务院常务会议提出扩招硕士生和专转本规模、最大限度增加就业机会等一系列举措，为毕业生稳定就业提供坚强保障。从更长远角度看，我们应该认识到外部环境变化带来的深层次变革和影响。当前，我们正处于突发性、复杂性、模糊性、不确定性并存的时期。尤其是工业4.0、大数据、人工智能、数字经济、共享经济等新技术和新业态的不断涌现，随之而来</w:t>
      </w:r>
      <w:r>
        <w:rPr>
          <w:rFonts w:hint="eastAsia" w:ascii="宋体" w:hAnsi="宋体" w:eastAsia="宋体"/>
          <w:sz w:val="24"/>
          <w:szCs w:val="24"/>
        </w:rPr>
        <w:t>的是企业对复合型人才的需求越来越大，对人才的素质和能力要求越来越高。</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面对新一轮产业变革、技术变革的双重影响，高校要在强化发展意识上下功夫，引导大学生将“当前”与“未来”结合起来，提前布局、顺势而为，为学生确立最佳的职业奋斗目标和最佳的职业发展路径奠定坚实基础。紧扣社会变革寻方向、立足社会发展寻突破，加强需求引导，帮助学生树立正确的就业观。在疫情结束后广泛开展知名企业进校园、进课堂活动，介绍新技术变革尤其是数字经济背景下职业岗位的新要求和新变化，加强职业引导，促进专业设置与职业岗位的有效匹配。利用就业宣讲等机会，帮助学生快速了解和接触社会，加强就业引导，从宏观的行业发展到微观的企业文化、人文环境，从短期的公司准入要求到长期的晋升趋势进行多个维度综合考量，并且在就业意识、择业心态、就业能力等方面给予指导。</w:t>
      </w:r>
    </w:p>
    <w:p>
      <w:pPr>
        <w:spacing w:line="360" w:lineRule="auto"/>
        <w:ind w:firstLine="482" w:firstLineChars="200"/>
        <w:rPr>
          <w:rFonts w:ascii="宋体" w:hAnsi="宋体" w:eastAsia="宋体"/>
          <w:b/>
          <w:bCs/>
          <w:sz w:val="24"/>
          <w:szCs w:val="24"/>
        </w:rPr>
      </w:pPr>
      <w:r>
        <w:rPr>
          <w:rFonts w:ascii="宋体" w:hAnsi="宋体" w:eastAsia="宋体"/>
          <w:b/>
          <w:bCs/>
          <w:sz w:val="24"/>
          <w:szCs w:val="24"/>
        </w:rPr>
        <w:t>强化“学习为本”，在职业发展上有新行动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机会总是留给有准备的人”。在信息爆炸的时代，职业类型多种多样，如何选择？如何成长？成为必须考虑的问题。生涯规划不仅包括规划，更强调“生涯理念”，不仅限于某时某刻某一阶段的抉择，也包括为实现生涯发展所采取的行动。当前，为了保证师生的安全，国内高校通过录播与直播相结合的方式进行远程教学。对于师生来说，教学新模式在不影响教学进展的前提下给师生更多陪伴家人的时间，同时也是自我积累、发展个人爱好的大好时期。加强自身储备，开发创造力，是当前及未来环境中提升个人核心能力的来源。德鲁克先生也指出，</w:t>
      </w:r>
      <w:r>
        <w:rPr>
          <w:rFonts w:ascii="宋体" w:hAnsi="宋体" w:eastAsia="宋体"/>
          <w:sz w:val="24"/>
          <w:szCs w:val="24"/>
        </w:rPr>
        <w:t>21世纪的组织，最有</w:t>
      </w:r>
      <w:r>
        <w:rPr>
          <w:rFonts w:hint="eastAsia" w:ascii="宋体" w:hAnsi="宋体" w:eastAsia="宋体"/>
          <w:sz w:val="24"/>
          <w:szCs w:val="24"/>
        </w:rPr>
        <w:t>价值的是组织内的知识工作者和他们的生产力。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面对当前疫情可能的影响，高校要在提高学生综合能力上下功夫，引导大学生将“立志”和“行动”结合起来，做好自我管理、用好时间管理。适应信息化、网络化学习的发展趋势，将网络教学的新手段和新工具与学生的终身学习理念结合起来，培养学生自主学习能力，激发学生敢于超越、敢于突破的学习热情，推动持续赋能。将专业教育、社会实践和生涯规划教育结合起来，聘请优秀人才担任生涯规划课程导师，提高学生的“知识”“见识”“胆识”和“共识”，推动全面赋能。强调“知行合一”，引导学生在学习中积累、在实践中成长，持续提高工程实践能力、问题解决能力和发展决策能力，在未来的工作岗位上发挥自身的价值，推动广泛赋能。</w:t>
      </w:r>
    </w:p>
    <w:p>
      <w:pPr>
        <w:spacing w:line="360" w:lineRule="auto"/>
        <w:ind w:firstLine="480" w:firstLineChars="200"/>
        <w:rPr>
          <w:rFonts w:ascii="楷体_GB2312" w:hAnsi="宋体" w:eastAsia="楷体_GB2312" w:cs="Times New Roman"/>
          <w:sz w:val="24"/>
          <w:szCs w:val="24"/>
        </w:rPr>
      </w:pPr>
      <w:r>
        <w:rPr>
          <w:rFonts w:hint="eastAsia" w:ascii="宋体" w:hAnsi="宋体" w:eastAsia="宋体"/>
          <w:sz w:val="24"/>
          <w:szCs w:val="24"/>
        </w:rPr>
        <w:t>青年一代有理想、有本领、有担当，国家就有前途，民族就有希望。办好教育事业，需要家庭、学校、政府、社会、个人共同努力，加快形成全社会共同参与的教育治理新格局。人才生涯规划教育并不是终点，而是一个全新的开始。面对疫情的短期影响，我们应该站在历史发展的时代潮头，更加强调“价值理念”“发展导向”“学习为本”为培养新时代的奋斗者和接班人作出应有的贡献。</w:t>
      </w:r>
      <w:r>
        <w:rPr>
          <w:rFonts w:hint="eastAsia" w:ascii="楷体_GB2312" w:hAnsi="宋体" w:eastAsia="楷体_GB2312" w:cs="Times New Roman"/>
          <w:sz w:val="24"/>
          <w:szCs w:val="24"/>
        </w:rPr>
        <w:t>（来源：《光明日报》。作者：赵曙明 南京大学人文社会科学教授）</w:t>
      </w:r>
    </w:p>
    <w:p>
      <w:pPr>
        <w:pStyle w:val="3"/>
        <w:jc w:val="center"/>
        <w:rPr>
          <w:rFonts w:ascii="宋体" w:hAnsi="宋体" w:eastAsia="宋体"/>
          <w:sz w:val="30"/>
          <w:szCs w:val="30"/>
        </w:rPr>
      </w:pPr>
      <w:bookmarkStart w:id="12" w:name="_Toc38614672"/>
      <w:r>
        <w:rPr>
          <w:rFonts w:hint="eastAsia" w:ascii="宋体" w:hAnsi="宋体" w:eastAsia="宋体"/>
          <w:sz w:val="30"/>
          <w:szCs w:val="30"/>
        </w:rPr>
        <w:t>探索新形势下中外合作办学人才培养的新路径</w:t>
      </w:r>
      <w:bookmarkEnd w:id="12"/>
    </w:p>
    <w:p>
      <w:pPr>
        <w:spacing w:line="360" w:lineRule="auto"/>
        <w:ind w:firstLine="480" w:firstLineChars="200"/>
        <w:rPr>
          <w:rFonts w:ascii="宋体" w:hAnsi="宋体" w:eastAsia="宋体"/>
          <w:sz w:val="24"/>
          <w:szCs w:val="24"/>
        </w:rPr>
      </w:pPr>
      <w:r>
        <w:rPr>
          <w:rFonts w:ascii="宋体" w:hAnsi="宋体" w:eastAsia="宋体"/>
          <w:sz w:val="24"/>
          <w:szCs w:val="24"/>
        </w:rPr>
        <w:t>中外合作办学是新时期教育对外开放的重要内容。如何进一步深化改革、提质增效，做好中外合作办学的人才培养工作，不仅事关教育“为党育人，为国育才”的初心使命，还能为推进我国教育治理体系和治理能力现代化丰富方法和手段，提供经验与借鉴。</w:t>
      </w:r>
    </w:p>
    <w:p>
      <w:pPr>
        <w:spacing w:line="360" w:lineRule="auto"/>
        <w:ind w:firstLine="480" w:firstLineChars="200"/>
        <w:rPr>
          <w:rFonts w:ascii="宋体" w:hAnsi="宋体" w:eastAsia="宋体"/>
          <w:sz w:val="24"/>
          <w:szCs w:val="24"/>
        </w:rPr>
      </w:pPr>
      <w:r>
        <w:rPr>
          <w:rFonts w:ascii="宋体" w:hAnsi="宋体" w:eastAsia="宋体"/>
          <w:sz w:val="24"/>
          <w:szCs w:val="24"/>
        </w:rPr>
        <w:t>新时代赋予中外合作办学新内涵，新理念明晰人才培养新路径。为进一步提高中外合作办学的质量和效益，着力破解当前存在的热点难点痛点堵点问题，需要守正创新，在人才培养中坚持“五个聚焦”，做到“五个突出”。</w:t>
      </w:r>
    </w:p>
    <w:p>
      <w:pPr>
        <w:spacing w:line="360" w:lineRule="auto"/>
        <w:ind w:firstLine="472" w:firstLineChars="196"/>
        <w:rPr>
          <w:rFonts w:ascii="宋体" w:hAnsi="宋体" w:eastAsia="宋体"/>
          <w:b/>
          <w:bCs/>
          <w:sz w:val="24"/>
          <w:szCs w:val="24"/>
        </w:rPr>
      </w:pPr>
      <w:r>
        <w:rPr>
          <w:rFonts w:ascii="宋体" w:hAnsi="宋体" w:eastAsia="宋体"/>
          <w:b/>
          <w:bCs/>
          <w:sz w:val="24"/>
          <w:szCs w:val="24"/>
        </w:rPr>
        <w:t>聚焦目标导向，突出价值引领的主导性</w:t>
      </w:r>
    </w:p>
    <w:p>
      <w:pPr>
        <w:spacing w:line="360" w:lineRule="auto"/>
        <w:ind w:firstLine="480" w:firstLineChars="200"/>
        <w:rPr>
          <w:rFonts w:ascii="宋体" w:hAnsi="宋体" w:eastAsia="宋体"/>
          <w:sz w:val="24"/>
          <w:szCs w:val="24"/>
        </w:rPr>
      </w:pPr>
      <w:r>
        <w:rPr>
          <w:rFonts w:ascii="宋体" w:hAnsi="宋体" w:eastAsia="宋体"/>
          <w:sz w:val="24"/>
          <w:szCs w:val="24"/>
        </w:rPr>
        <w:t>要充分发挥党组织在中外合作办学中的政治核心作用，强化党建引领，重视意识形态工作，旗帜鲜明地坚持正确的政治方向、舆论导向和价值取向，坚定捍卫教育主权。针对中外合作办学大学生自我意识强、多元文化价值观交融等思想行为特点，探索思想政治理论课的改革创新，配齐建强思想政治理论课教师、辅导员和学生骨干三支“主力军”，走近学生、关爱学生，不断增强新形势下思想政治工作的时代感、针对性和亲和力。着力加强对教育教学活动的管控、教材教学内容的管理、外籍教师教学的规范、学生思想价值观的引导和塑造、学风教风院风的优化，营造积</w:t>
      </w:r>
      <w:r>
        <w:rPr>
          <w:rFonts w:hint="eastAsia" w:ascii="宋体" w:hAnsi="宋体" w:eastAsia="宋体"/>
          <w:sz w:val="24"/>
          <w:szCs w:val="24"/>
        </w:rPr>
        <w:t>极向上的思想氛围和舆论环境。</w:t>
      </w:r>
    </w:p>
    <w:p>
      <w:pPr>
        <w:spacing w:line="360" w:lineRule="auto"/>
        <w:ind w:firstLine="482" w:firstLineChars="200"/>
        <w:rPr>
          <w:rFonts w:ascii="宋体" w:hAnsi="宋体" w:eastAsia="宋体"/>
          <w:sz w:val="24"/>
          <w:szCs w:val="24"/>
        </w:rPr>
      </w:pPr>
      <w:r>
        <w:rPr>
          <w:rFonts w:ascii="宋体" w:hAnsi="宋体" w:eastAsia="宋体"/>
          <w:b/>
          <w:bCs/>
          <w:sz w:val="24"/>
          <w:szCs w:val="24"/>
        </w:rPr>
        <w:t>聚焦国家战略，突出我方需求的针对性</w:t>
      </w:r>
    </w:p>
    <w:p>
      <w:pPr>
        <w:spacing w:line="360" w:lineRule="auto"/>
        <w:ind w:firstLine="480" w:firstLineChars="200"/>
        <w:rPr>
          <w:rFonts w:ascii="宋体" w:hAnsi="宋体" w:eastAsia="宋体"/>
          <w:sz w:val="24"/>
          <w:szCs w:val="24"/>
        </w:rPr>
      </w:pPr>
      <w:r>
        <w:rPr>
          <w:rFonts w:ascii="宋体" w:hAnsi="宋体" w:eastAsia="宋体"/>
          <w:sz w:val="24"/>
          <w:szCs w:val="24"/>
        </w:rPr>
        <w:t>要紧紧瞄准国家重大战略需求，密切联系解决全球性问题、共筑人类命运共同体这一深度关切，大力培养“高精尖急缺”人才。在合作高校选择上，要着力拓展与“一带一路”、金砖国家等相关国家的高水平大学合作。在合作专业选择上，要着力与国家急需的一些新兴、前沿、空白专业和配合国家创新驱动发展、人工智能、乡村振兴等重大战略需求，同时又是对方优势特色的专业合作，特别加强国家急需的自然科学与工程科学类专业建设。在培养导向上，要着力服务于母体大学所在区域发展的实际需求，为“京津冀协同发展”“长三角一体化”“西部大开发”“粤港</w:t>
      </w:r>
      <w:r>
        <w:rPr>
          <w:rFonts w:hint="eastAsia" w:ascii="宋体" w:hAnsi="宋体" w:eastAsia="宋体"/>
          <w:sz w:val="24"/>
          <w:szCs w:val="24"/>
        </w:rPr>
        <w:t>澳大湾区”等战略的实施提供人才保障与智力支撑。在培养过程上，要着力与“双一流”战略相适应推动高等教育改革创新。</w:t>
      </w:r>
    </w:p>
    <w:p>
      <w:pPr>
        <w:spacing w:line="360" w:lineRule="auto"/>
        <w:ind w:firstLine="472" w:firstLineChars="196"/>
        <w:rPr>
          <w:rFonts w:ascii="宋体" w:hAnsi="宋体" w:eastAsia="宋体"/>
          <w:b/>
          <w:bCs/>
          <w:sz w:val="24"/>
          <w:szCs w:val="24"/>
        </w:rPr>
      </w:pPr>
      <w:r>
        <w:rPr>
          <w:rFonts w:ascii="宋体" w:hAnsi="宋体" w:eastAsia="宋体"/>
          <w:b/>
          <w:bCs/>
          <w:sz w:val="24"/>
          <w:szCs w:val="24"/>
        </w:rPr>
        <w:t>聚焦开放理念，突出资源融合的有效性</w:t>
      </w:r>
    </w:p>
    <w:p>
      <w:pPr>
        <w:spacing w:line="360" w:lineRule="auto"/>
        <w:ind w:firstLine="480" w:firstLineChars="200"/>
        <w:rPr>
          <w:rFonts w:ascii="宋体" w:hAnsi="宋体" w:eastAsia="宋体"/>
          <w:sz w:val="24"/>
          <w:szCs w:val="24"/>
        </w:rPr>
      </w:pPr>
      <w:r>
        <w:rPr>
          <w:rFonts w:ascii="宋体" w:hAnsi="宋体" w:eastAsia="宋体"/>
          <w:sz w:val="24"/>
          <w:szCs w:val="24"/>
        </w:rPr>
        <w:t>一是引进国外优质资源。引进合作高校先进办学理念、优质师资和课程、教学管理制度体系等，共同制定培养方案，让特色优势教育资源贯穿课程设置、教材选用、教学方式等教育教学全过程。二是共享同行资源。近年来，一批高水平、示范性的中外合作办学机构涌现，在人才培养上积累了许多可资借鉴的鲜活经验。通过会议、互访、共享教学资源等形式，构建互学互鉴的同行成功经验共享机制。三是整合社会资源。开展校企合作、校地合作，通过“走出去”“请进来”实现开门办学，吸纳优质社会资源开展协同育人，使人才培养更“接地气”。四是盘活校内资源。</w:t>
      </w:r>
      <w:r>
        <w:rPr>
          <w:rFonts w:hint="eastAsia" w:ascii="宋体" w:hAnsi="宋体" w:eastAsia="宋体"/>
          <w:sz w:val="24"/>
          <w:szCs w:val="24"/>
        </w:rPr>
        <w:t>一方面在全校范围内寻求和凝聚支持中外合作办学的最大共识，破解领导不重视、体制机制不顺畅、经费保障不充分、师资队伍和实验室建设困难等难题；另一方面要以“有为”求“有位”，以高质量的人才“输出”“反哺”学校教育教学改革，为完善内部治理结构提供有益经验。</w:t>
      </w:r>
    </w:p>
    <w:p>
      <w:pPr>
        <w:spacing w:line="360" w:lineRule="auto"/>
        <w:ind w:firstLine="472" w:firstLineChars="196"/>
        <w:rPr>
          <w:rFonts w:ascii="宋体" w:hAnsi="宋体" w:eastAsia="宋体"/>
          <w:b/>
          <w:bCs/>
          <w:sz w:val="24"/>
          <w:szCs w:val="24"/>
        </w:rPr>
      </w:pPr>
      <w:r>
        <w:rPr>
          <w:rFonts w:ascii="宋体" w:hAnsi="宋体" w:eastAsia="宋体"/>
          <w:b/>
          <w:bCs/>
          <w:sz w:val="24"/>
          <w:szCs w:val="24"/>
        </w:rPr>
        <w:t>聚焦培养质量，突出教育教学的规范性</w:t>
      </w:r>
    </w:p>
    <w:p>
      <w:pPr>
        <w:spacing w:line="360" w:lineRule="auto"/>
        <w:ind w:firstLine="480" w:firstLineChars="200"/>
        <w:rPr>
          <w:rFonts w:ascii="宋体" w:hAnsi="宋体" w:eastAsia="宋体"/>
          <w:sz w:val="24"/>
          <w:szCs w:val="24"/>
        </w:rPr>
      </w:pPr>
      <w:r>
        <w:rPr>
          <w:rFonts w:ascii="宋体" w:hAnsi="宋体" w:eastAsia="宋体"/>
          <w:sz w:val="24"/>
          <w:szCs w:val="24"/>
        </w:rPr>
        <w:t>首先，严格落实“四个1/3”的量化要求。在第一个办学周期确保其“落地”，在后面的办学周期着眼于“融入”，最终构建起“有机融合、无缝对接”的课程和师资体系。其次，加强教师队伍建设。建立完善师资准入和退出制度，研究制定中外合作办学教师专业标准体系、外籍教师资格认证体系、调整师资结构的政策措施，逐步优化师资学历、教龄、年龄和职称结构。加强岗前培训和师德教育，举办中外合作办学“名师工程”“精品课程”，开展示范性建设。建立合作交流机制，推进高水平师资海外培训、联合培养和互训互用。第三，强化教学质量监督。各校应</w:t>
      </w:r>
      <w:r>
        <w:rPr>
          <w:rFonts w:hint="eastAsia" w:ascii="宋体" w:hAnsi="宋体" w:eastAsia="宋体"/>
          <w:sz w:val="24"/>
          <w:szCs w:val="24"/>
        </w:rPr>
        <w:t>建立完善高标准的教学质量监督体系和监督结果反馈、激励、约束机制，加强教学过程中的考察考核，在意识形态上采取“一票否决制”。同时，在录取、考试、实习、答辩、学位授予等环节予以严格规范。</w:t>
      </w:r>
    </w:p>
    <w:p>
      <w:pPr>
        <w:spacing w:line="360" w:lineRule="auto"/>
        <w:ind w:firstLine="472" w:firstLineChars="196"/>
        <w:rPr>
          <w:rFonts w:ascii="宋体" w:hAnsi="宋体" w:eastAsia="宋体"/>
          <w:b/>
          <w:bCs/>
          <w:sz w:val="24"/>
          <w:szCs w:val="24"/>
        </w:rPr>
      </w:pPr>
      <w:r>
        <w:rPr>
          <w:rFonts w:ascii="宋体" w:hAnsi="宋体" w:eastAsia="宋体"/>
          <w:b/>
          <w:bCs/>
          <w:sz w:val="24"/>
          <w:szCs w:val="24"/>
        </w:rPr>
        <w:t>聚焦情感渗透，突出育人过程的人文性</w:t>
      </w:r>
    </w:p>
    <w:p>
      <w:pPr>
        <w:spacing w:line="360" w:lineRule="auto"/>
        <w:ind w:firstLine="480" w:firstLineChars="200"/>
        <w:rPr>
          <w:rFonts w:ascii="楷体_GB2312" w:hAnsi="宋体" w:eastAsia="楷体_GB2312" w:cs="Times New Roman"/>
          <w:sz w:val="24"/>
          <w:szCs w:val="24"/>
        </w:rPr>
      </w:pPr>
      <w:r>
        <w:rPr>
          <w:rFonts w:ascii="宋体" w:hAnsi="宋体" w:eastAsia="宋体"/>
          <w:sz w:val="24"/>
          <w:szCs w:val="24"/>
        </w:rPr>
        <w:t>提高中外合作办学人才培养质量，既需要规则与制度的规约、引领，更需要情感渗透，即教育者对学生成长的持续关注、全情投入和细致关怀。要牢固树立“以学生为中心”的理念，帮助中外合作办学大学生解决好思想困惑、学习困难、心理困扰和生活困境等方方面面的实际问题，从集体到个体、从学习到生活、从线下到线上，更多更好地满足每名学生在价值引领、知识传授、能力提升上的个性化需求，把每一件小事做好、每一个细节落实。要围绕学生、关照学生、服务学生、把握学生成长规律，不断提高学生思想水平、政治觉悟、道德品质、文化素养。贯穿育人全</w:t>
      </w:r>
      <w:r>
        <w:rPr>
          <w:rFonts w:hint="eastAsia" w:ascii="宋体" w:hAnsi="宋体" w:eastAsia="宋体"/>
          <w:sz w:val="24"/>
          <w:szCs w:val="24"/>
        </w:rPr>
        <w:t>过程的，应该是“如切如磋”的细致、“润物细无声”的熏陶和“化作春泥更护花”的大爱，让学生们在每一项工作、每一个细节背后，都能感受到价值的光辉和人性的温度，让中外合作办学的育人实效从“外化于行”到“内化于心”，在过程与结果中体现“人文性”。</w:t>
      </w:r>
      <w:r>
        <w:rPr>
          <w:rFonts w:ascii="楷体_GB2312" w:hAnsi="宋体" w:eastAsia="楷体_GB2312" w:cs="Times New Roman"/>
          <w:sz w:val="24"/>
          <w:szCs w:val="24"/>
        </w:rPr>
        <w:t>（</w:t>
      </w:r>
      <w:r>
        <w:rPr>
          <w:rFonts w:hint="eastAsia" w:ascii="楷体_GB2312" w:hAnsi="宋体" w:eastAsia="楷体_GB2312" w:cs="Times New Roman"/>
          <w:sz w:val="24"/>
          <w:szCs w:val="24"/>
        </w:rPr>
        <w:t>来源：中国社会科学网。</w:t>
      </w:r>
      <w:r>
        <w:rPr>
          <w:rFonts w:ascii="楷体_GB2312" w:hAnsi="宋体" w:eastAsia="楷体_GB2312" w:cs="Times New Roman"/>
          <w:sz w:val="24"/>
          <w:szCs w:val="24"/>
        </w:rPr>
        <w:t>作者：</w:t>
      </w:r>
      <w:r>
        <w:rPr>
          <w:rFonts w:hint="eastAsia" w:ascii="楷体_GB2312" w:hAnsi="宋体" w:eastAsia="楷体_GB2312" w:cs="Times New Roman"/>
          <w:sz w:val="24"/>
          <w:szCs w:val="24"/>
        </w:rPr>
        <w:t>张琨，单位：</w:t>
      </w:r>
      <w:r>
        <w:rPr>
          <w:rFonts w:ascii="楷体_GB2312" w:hAnsi="宋体" w:eastAsia="楷体_GB2312" w:cs="Times New Roman"/>
          <w:sz w:val="24"/>
          <w:szCs w:val="24"/>
        </w:rPr>
        <w:t>西南大学）</w:t>
      </w:r>
    </w:p>
    <w:p>
      <w:pPr>
        <w:pStyle w:val="3"/>
        <w:jc w:val="center"/>
        <w:rPr>
          <w:rFonts w:ascii="宋体" w:hAnsi="宋体" w:eastAsia="宋体"/>
          <w:sz w:val="30"/>
          <w:szCs w:val="30"/>
        </w:rPr>
      </w:pPr>
      <w:bookmarkStart w:id="13" w:name="_Toc38614673"/>
      <w:r>
        <w:rPr>
          <w:rFonts w:hint="eastAsia" w:ascii="宋体" w:hAnsi="宋体" w:eastAsia="宋体"/>
          <w:sz w:val="30"/>
          <w:szCs w:val="30"/>
        </w:rPr>
        <w:t>一流应用型本科建设中的资源保障</w:t>
      </w:r>
      <w:bookmarkEnd w:id="13"/>
    </w:p>
    <w:p>
      <w:pPr>
        <w:spacing w:line="360" w:lineRule="auto"/>
        <w:ind w:firstLine="480" w:firstLineChars="200"/>
        <w:rPr>
          <w:rFonts w:ascii="宋体" w:hAnsi="宋体" w:eastAsia="宋体"/>
          <w:sz w:val="24"/>
          <w:szCs w:val="24"/>
        </w:rPr>
      </w:pPr>
      <w:r>
        <w:rPr>
          <w:rFonts w:hint="eastAsia" w:ascii="宋体" w:hAnsi="宋体" w:eastAsia="宋体"/>
          <w:sz w:val="24"/>
          <w:szCs w:val="24"/>
        </w:rPr>
        <w:t>高教大计，本科为本。伴随着高等教育的飞速发展，建设一流本科教育已成为当下我国高等教育内涵式发展的着力点。自</w:t>
      </w:r>
      <w:r>
        <w:rPr>
          <w:rFonts w:ascii="宋体" w:hAnsi="宋体" w:eastAsia="宋体"/>
          <w:sz w:val="24"/>
          <w:szCs w:val="24"/>
        </w:rPr>
        <w:t>2018年以来，相继召开的新时代全国高等学校本科教育工作会议和全国教育大会，更是吹响了建设中国特色、世界水平的一流本科教育的“集结号”和“冲锋号”。</w:t>
      </w:r>
    </w:p>
    <w:p>
      <w:pPr>
        <w:spacing w:line="360" w:lineRule="auto"/>
        <w:rPr>
          <w:rFonts w:ascii="宋体" w:hAnsi="宋体" w:eastAsia="宋体"/>
          <w:sz w:val="24"/>
          <w:szCs w:val="24"/>
        </w:rPr>
      </w:pPr>
      <w:r>
        <w:rPr>
          <w:rFonts w:ascii="宋体" w:hAnsi="宋体" w:eastAsia="宋体"/>
          <w:sz w:val="24"/>
          <w:szCs w:val="24"/>
        </w:rPr>
        <w:t xml:space="preserve">    应用型本科是我国本科教育的重要组成部分，其数量多、规模大、分布地域广，在服务区域经济社会发展中肩负着神圣使命、发挥着重要作用。大力发展应用型本科教育，是党中央、国务院的决策部署，已成为新时代我国高等教育发展的新需求和新方向。从这一意义来看，建设一流本科教育，是应用型本科高校发展的内生需求和必走之路。</w:t>
      </w:r>
    </w:p>
    <w:p>
      <w:pPr>
        <w:spacing w:line="360" w:lineRule="auto"/>
        <w:rPr>
          <w:rFonts w:ascii="宋体" w:hAnsi="宋体" w:eastAsia="宋体"/>
          <w:sz w:val="24"/>
          <w:szCs w:val="24"/>
        </w:rPr>
      </w:pPr>
      <w:r>
        <w:rPr>
          <w:rFonts w:ascii="宋体" w:hAnsi="宋体" w:eastAsia="宋体"/>
          <w:sz w:val="24"/>
          <w:szCs w:val="24"/>
        </w:rPr>
        <w:t xml:space="preserve">    在一流本科建设中，应用型本科高校必须乘势而上，主动作为，自觉争创一流。这既是趋势与共识，更是使命与担当。正如教育部陈宝生部长在新时代全国高等学校本科教育工作会议上所强调的那样，“应用型也要加强一流本科建设”。</w:t>
      </w:r>
    </w:p>
    <w:p>
      <w:pPr>
        <w:spacing w:line="360" w:lineRule="auto"/>
        <w:rPr>
          <w:rFonts w:ascii="宋体" w:hAnsi="宋体" w:eastAsia="宋体"/>
          <w:b/>
          <w:sz w:val="24"/>
          <w:szCs w:val="24"/>
        </w:rPr>
      </w:pPr>
      <w:r>
        <w:rPr>
          <w:rFonts w:ascii="宋体" w:hAnsi="宋体" w:eastAsia="宋体"/>
          <w:sz w:val="24"/>
          <w:szCs w:val="24"/>
        </w:rPr>
        <w:t xml:space="preserve">    </w:t>
      </w:r>
      <w:r>
        <w:rPr>
          <w:rFonts w:ascii="宋体" w:hAnsi="宋体" w:eastAsia="宋体"/>
          <w:b/>
          <w:sz w:val="24"/>
          <w:szCs w:val="24"/>
        </w:rPr>
        <w:t>着力解决教学资源有效供给</w:t>
      </w:r>
    </w:p>
    <w:p>
      <w:pPr>
        <w:spacing w:line="360" w:lineRule="auto"/>
        <w:rPr>
          <w:rFonts w:ascii="宋体" w:hAnsi="宋体" w:eastAsia="宋体"/>
          <w:sz w:val="24"/>
          <w:szCs w:val="24"/>
        </w:rPr>
      </w:pPr>
      <w:r>
        <w:rPr>
          <w:rFonts w:ascii="宋体" w:hAnsi="宋体" w:eastAsia="宋体"/>
          <w:sz w:val="24"/>
          <w:szCs w:val="24"/>
        </w:rPr>
        <w:t xml:space="preserve">    在一流应用型本科建设实践中，首先必须着力解决教学资源的有效供给。教学资源包含多方位因素，主要指学校所拥有的人力资源、财力资源、物力资源、课程资源、学术资源及实践教学资源等。这些资源是高校教育教学和人才培养的重要保障，尤其是人财物等核心资源的占有份额和使用效率，不仅直接反映了一所高校的综合实力，更会直接影响到这所学校的人才培养能力与本科办学水平，最终影响到学校的生存与发展。纵观一些在本科教学工作中取得突出成绩的高校，其关键举措便是投入了大量的人财物资源到本科教育教学中。</w:t>
      </w:r>
    </w:p>
    <w:p>
      <w:pPr>
        <w:spacing w:line="360" w:lineRule="auto"/>
        <w:rPr>
          <w:rFonts w:ascii="宋体" w:hAnsi="宋体" w:eastAsia="宋体"/>
          <w:sz w:val="24"/>
          <w:szCs w:val="24"/>
        </w:rPr>
      </w:pPr>
      <w:r>
        <w:rPr>
          <w:rFonts w:ascii="宋体" w:hAnsi="宋体" w:eastAsia="宋体"/>
          <w:sz w:val="24"/>
          <w:szCs w:val="24"/>
        </w:rPr>
        <w:t xml:space="preserve">    比如，四川大学在建设一流本科教育的过程中，仅教室改造这一项基础性工作，就累计投入了两个多亿，这是绝大多数应用型本科高校无法企及的。不仅如此，受办学基础薄弱、本科办学积淀不够深厚等因素影响，大多数应用型本科高校还不同程度地面临着办学资源紧缺的困境。加之应用型人才培养对双师双能型教师和实践教学资源的需求量激增，无形中又进一步加剧了资源紧缺的矛盾，直接影响到一流应用型本科的建设进展与实施成效。</w:t>
      </w:r>
    </w:p>
    <w:p>
      <w:pPr>
        <w:spacing w:line="360" w:lineRule="auto"/>
        <w:rPr>
          <w:rFonts w:ascii="宋体" w:hAnsi="宋体" w:eastAsia="宋体"/>
          <w:sz w:val="24"/>
          <w:szCs w:val="24"/>
        </w:rPr>
      </w:pPr>
      <w:r>
        <w:rPr>
          <w:rFonts w:ascii="宋体" w:hAnsi="宋体" w:eastAsia="宋体"/>
          <w:sz w:val="24"/>
          <w:szCs w:val="24"/>
        </w:rPr>
        <w:t xml:space="preserve">    要破解这一现实难题，一方面，我们呼吁地方政府和教育行政部门实施倾斜性的财政支持政策，进一步加大对应用型本科高校的经费投入，以引导其在分类发展的轨道上争创一流。另一方面，学校自身也应拓展办学思路，在积极争取各级财政支持基础上，广泛吸纳社会资源参与办学，努力“向外”借力发展。</w:t>
      </w:r>
    </w:p>
    <w:p>
      <w:pPr>
        <w:spacing w:line="360" w:lineRule="auto"/>
        <w:rPr>
          <w:rFonts w:ascii="宋体" w:hAnsi="宋体" w:eastAsia="宋体"/>
          <w:sz w:val="24"/>
          <w:szCs w:val="24"/>
        </w:rPr>
      </w:pPr>
      <w:r>
        <w:rPr>
          <w:rFonts w:ascii="宋体" w:hAnsi="宋体" w:eastAsia="宋体"/>
          <w:sz w:val="24"/>
          <w:szCs w:val="24"/>
        </w:rPr>
        <w:t xml:space="preserve">    在这方面，四川文理学院进行了积极探索，并取得了较好成效。近年来，学校在建设高水平应用型大学的目标引领下，以“学生主体、教师主导、环境育人、社会合作”的“四圆同心”育人机制为指导，全面加强与地方政府、企事业单位、科研院所的合作，通过提供高质量的社会服务、联合开展科技攻关、共建研究平台与实践教学基地等方式，从校外吸纳了大量的优质办学资源，为建设一流应用型本科提供了更有力的资源保障。</w:t>
      </w:r>
    </w:p>
    <w:p>
      <w:pPr>
        <w:spacing w:line="360" w:lineRule="auto"/>
        <w:rPr>
          <w:rFonts w:ascii="宋体" w:hAnsi="宋体" w:eastAsia="宋体"/>
          <w:b/>
          <w:sz w:val="24"/>
          <w:szCs w:val="24"/>
        </w:rPr>
      </w:pPr>
      <w:r>
        <w:rPr>
          <w:rFonts w:ascii="宋体" w:hAnsi="宋体" w:eastAsia="宋体"/>
          <w:sz w:val="24"/>
          <w:szCs w:val="24"/>
        </w:rPr>
        <w:t xml:space="preserve">    </w:t>
      </w:r>
      <w:r>
        <w:rPr>
          <w:rFonts w:ascii="宋体" w:hAnsi="宋体" w:eastAsia="宋体"/>
          <w:b/>
          <w:sz w:val="24"/>
          <w:szCs w:val="24"/>
        </w:rPr>
        <w:t>重视有限办学资源统筹利用</w:t>
      </w:r>
    </w:p>
    <w:p>
      <w:pPr>
        <w:spacing w:line="360" w:lineRule="auto"/>
        <w:rPr>
          <w:rFonts w:ascii="宋体" w:hAnsi="宋体" w:eastAsia="宋体"/>
          <w:sz w:val="24"/>
          <w:szCs w:val="24"/>
        </w:rPr>
      </w:pPr>
      <w:r>
        <w:rPr>
          <w:rFonts w:ascii="宋体" w:hAnsi="宋体" w:eastAsia="宋体"/>
          <w:sz w:val="24"/>
          <w:szCs w:val="24"/>
        </w:rPr>
        <w:t xml:space="preserve">    一流应用型本科建设成效，关键取决于资源的统筹利用与优化配置。经济学的理论表明，资源的自然集聚并不意味着一定能够产生高效益，任何资源都必须通过优化配置，才有可能实现经济效益与社会效益的最大化。</w:t>
      </w:r>
    </w:p>
    <w:p>
      <w:pPr>
        <w:spacing w:line="360" w:lineRule="auto"/>
        <w:rPr>
          <w:rFonts w:ascii="宋体" w:hAnsi="宋体" w:eastAsia="宋体"/>
          <w:sz w:val="24"/>
          <w:szCs w:val="24"/>
        </w:rPr>
      </w:pPr>
      <w:r>
        <w:rPr>
          <w:rFonts w:ascii="宋体" w:hAnsi="宋体" w:eastAsia="宋体"/>
          <w:sz w:val="24"/>
          <w:szCs w:val="24"/>
        </w:rPr>
        <w:t xml:space="preserve">    从历史与现实来看，部分高校，包括一些“双一流”建设高校，虽然投入到本科教学中的资源十分充足，但高投入并没有产生高效益，人才培养能力与水平并未达到预期的理想状态，其原因之一就在于缺乏对资源的统筹利用与优化配置，导致相当一部分教学资源的使用效益不高，资源投入与绩效产出不成正比，形成了隐性的资源浪费。</w:t>
      </w:r>
    </w:p>
    <w:p>
      <w:pPr>
        <w:spacing w:line="360" w:lineRule="auto"/>
        <w:rPr>
          <w:rFonts w:ascii="宋体" w:hAnsi="宋体" w:eastAsia="宋体"/>
          <w:sz w:val="24"/>
          <w:szCs w:val="24"/>
        </w:rPr>
      </w:pPr>
      <w:r>
        <w:rPr>
          <w:rFonts w:ascii="宋体" w:hAnsi="宋体" w:eastAsia="宋体"/>
          <w:sz w:val="24"/>
          <w:szCs w:val="24"/>
        </w:rPr>
        <w:t xml:space="preserve">    而从社会整体层面来看，资源天然具有稀缺性，能够投入到高等教育系统的资源总量始终是有限的，如果有限的教育资源没有充分发挥使用效益，不仅是变相的资源浪费，对一些原本资源非常紧缺的高校来说，更是严重的不公平。</w:t>
      </w:r>
    </w:p>
    <w:p>
      <w:pPr>
        <w:spacing w:line="360" w:lineRule="auto"/>
        <w:rPr>
          <w:rFonts w:ascii="宋体" w:hAnsi="宋体" w:eastAsia="宋体"/>
          <w:sz w:val="24"/>
          <w:szCs w:val="24"/>
        </w:rPr>
      </w:pPr>
      <w:r>
        <w:rPr>
          <w:rFonts w:ascii="宋体" w:hAnsi="宋体" w:eastAsia="宋体"/>
          <w:sz w:val="24"/>
          <w:szCs w:val="24"/>
        </w:rPr>
        <w:t xml:space="preserve">    高校办学资源的来源具有多样性，既有来自各级财政的拨款，也有来自社会各界的捐赠；既有学校层面通过校地合作、校企合作等途径争取到的外部资源，也有各二级单位以及一些教学科研团队通过产教融合、社会服务等方式所获得的外部资源。如果来源于不同主体、不同渠道的办学资源不能得到统筹利用与优化配置，资源闲置与资源浪费也就难以避免。因此，为尽可能避免出现这种情况，在建设一流应用型本科的进程中，各高校应更加重视对有限办学资源的统筹利用与优化配置。</w:t>
      </w:r>
    </w:p>
    <w:p>
      <w:pPr>
        <w:spacing w:line="360" w:lineRule="auto"/>
        <w:rPr>
          <w:rFonts w:ascii="宋体" w:hAnsi="宋体" w:eastAsia="宋体"/>
          <w:b/>
          <w:sz w:val="24"/>
          <w:szCs w:val="24"/>
        </w:rPr>
      </w:pPr>
      <w:r>
        <w:rPr>
          <w:rFonts w:ascii="宋体" w:hAnsi="宋体" w:eastAsia="宋体"/>
          <w:sz w:val="24"/>
          <w:szCs w:val="24"/>
        </w:rPr>
        <w:t xml:space="preserve">    </w:t>
      </w:r>
      <w:r>
        <w:rPr>
          <w:rFonts w:ascii="宋体" w:hAnsi="宋体" w:eastAsia="宋体"/>
          <w:b/>
          <w:sz w:val="24"/>
          <w:szCs w:val="24"/>
        </w:rPr>
        <w:t>资源配置应采取差异化手段</w:t>
      </w:r>
    </w:p>
    <w:p>
      <w:pPr>
        <w:spacing w:line="360" w:lineRule="auto"/>
        <w:rPr>
          <w:rFonts w:ascii="宋体" w:hAnsi="宋体" w:eastAsia="宋体"/>
          <w:sz w:val="24"/>
          <w:szCs w:val="24"/>
        </w:rPr>
      </w:pPr>
      <w:r>
        <w:rPr>
          <w:rFonts w:ascii="宋体" w:hAnsi="宋体" w:eastAsia="宋体"/>
          <w:sz w:val="24"/>
          <w:szCs w:val="24"/>
        </w:rPr>
        <w:t xml:space="preserve">    一流应用型本科建设没有固定模型，有效做好资源保障与优化配置方能实现办学效益最大化。在具体办学过程中，不同高校由于办学理念、办学基础、办学传统、学科专业结构、人才培养目标，以及学校所在区域的产业结构现状与经济社会发展水平等有所不同，其内部资源优化配置的模式与实践策略也会相应不同。但从建设一流应用型本科的目标任务与实践要求来看，我们认为，在其内部资源配置中，宜倡导合理竞争，采取差异化的配置策略，体现“优胜劣汰”。</w:t>
      </w:r>
    </w:p>
    <w:p>
      <w:pPr>
        <w:spacing w:line="360" w:lineRule="auto"/>
        <w:rPr>
          <w:rFonts w:ascii="宋体" w:hAnsi="宋体" w:eastAsia="宋体"/>
          <w:sz w:val="24"/>
          <w:szCs w:val="24"/>
        </w:rPr>
      </w:pPr>
      <w:r>
        <w:rPr>
          <w:rFonts w:ascii="宋体" w:hAnsi="宋体" w:eastAsia="宋体"/>
          <w:sz w:val="24"/>
          <w:szCs w:val="24"/>
        </w:rPr>
        <w:t xml:space="preserve">    目前绝大多数应用型本科高校所拥有的资源总量还没有达到能够完全按需配置的程度，如果一味追求“小而全”、面面俱到、全面开花，过分强调平均投入、平均用力，势必会分散有限资源，不仅容易形成资源利用的“木桶效应”，还有可能导致重复投入、重复建设，进而形成资源浪费现象。</w:t>
      </w:r>
    </w:p>
    <w:p>
      <w:pPr>
        <w:spacing w:line="360" w:lineRule="auto"/>
        <w:rPr>
          <w:rFonts w:ascii="宋体" w:hAnsi="宋体" w:eastAsia="宋体"/>
          <w:sz w:val="24"/>
          <w:szCs w:val="24"/>
        </w:rPr>
      </w:pPr>
      <w:r>
        <w:rPr>
          <w:rFonts w:ascii="宋体" w:hAnsi="宋体" w:eastAsia="宋体"/>
          <w:sz w:val="24"/>
          <w:szCs w:val="24"/>
        </w:rPr>
        <w:t xml:space="preserve">    在资源配置实践中，学校层面既要着眼全局、通盘考虑，切实保障各二级单位开展教学科研和管理服务工作的合理资源需求，维持学校的正常运转和长远发展，更要突出重点、提升效率，有目的、有意识地对一些学科专业加大资源投入，支持其尽快培育和形成特色、优势，以资源流向来引导和推动学校的内涵发展、转型发展、特色发展。特别是对学校事业发展规划中确立的重点建设学科、优先发展学科，以及地方经济社会发展急需的应用型学科专业，更应旗帜鲜明、坚定不移地加大资源投入。</w:t>
      </w:r>
    </w:p>
    <w:p>
      <w:pPr>
        <w:spacing w:line="360" w:lineRule="auto"/>
        <w:rPr>
          <w:rFonts w:ascii="宋体" w:hAnsi="宋体" w:eastAsia="宋体"/>
          <w:sz w:val="24"/>
          <w:szCs w:val="24"/>
        </w:rPr>
      </w:pPr>
      <w:r>
        <w:rPr>
          <w:rFonts w:ascii="宋体" w:hAnsi="宋体" w:eastAsia="宋体"/>
          <w:sz w:val="24"/>
          <w:szCs w:val="24"/>
        </w:rPr>
        <w:t xml:space="preserve">    但实施差异化的资源配置策略，也容易引发各二级单位或学科专业各行其是、各自为战，甚至因为竞争而盲目争抢有限资源。为避免这种现象，在资源配置及配置后的使用与管理中，一定要强化“共享思维”、遵从“共享逻辑”，坚决打破条块分割的传统管理模式，全面整合资源，大力推进各类资源的共建共享共管，从而提高有限资源的使用效率。这既是从源头上避免资源浪费的有效举措，也是贯彻落实新发展理念的具体体现。</w:t>
      </w:r>
    </w:p>
    <w:p>
      <w:pPr>
        <w:spacing w:line="360" w:lineRule="auto"/>
        <w:ind w:firstLine="480"/>
        <w:rPr>
          <w:rFonts w:ascii="楷体_GB2312" w:hAnsi="宋体" w:eastAsia="楷体_GB2312" w:cs="Times New Roman"/>
          <w:sz w:val="24"/>
          <w:szCs w:val="24"/>
        </w:rPr>
      </w:pPr>
      <w:r>
        <w:rPr>
          <w:rFonts w:ascii="宋体" w:hAnsi="宋体" w:eastAsia="宋体"/>
          <w:sz w:val="24"/>
          <w:szCs w:val="24"/>
        </w:rPr>
        <w:t>随着高等教育领域“放管服”改革的深入推进，高校办学自主权得到了进一步扩大，如何优化配置学校的办学资源，实际上也是对应用型高校管理者提出的新挑战和新考验，是促进应用型高校内部治理体系和治理能力现代化的应有之义，更是建设好一流应用型本科高校的责任担当。</w:t>
      </w:r>
      <w:r>
        <w:rPr>
          <w:rFonts w:ascii="楷体_GB2312" w:hAnsi="宋体" w:eastAsia="楷体_GB2312" w:cs="Times New Roman"/>
          <w:sz w:val="24"/>
          <w:szCs w:val="24"/>
        </w:rPr>
        <w:t>（</w:t>
      </w:r>
      <w:r>
        <w:rPr>
          <w:rFonts w:hint="eastAsia" w:ascii="楷体_GB2312" w:hAnsi="宋体" w:eastAsia="楷体_GB2312" w:cs="Times New Roman"/>
          <w:sz w:val="24"/>
          <w:szCs w:val="24"/>
        </w:rPr>
        <w:t>来源：《中国教育报》。</w:t>
      </w:r>
      <w:r>
        <w:rPr>
          <w:rFonts w:ascii="楷体_GB2312" w:hAnsi="宋体" w:eastAsia="楷体_GB2312" w:cs="Times New Roman"/>
          <w:sz w:val="24"/>
          <w:szCs w:val="24"/>
        </w:rPr>
        <w:t>作者</w:t>
      </w:r>
      <w:r>
        <w:rPr>
          <w:rFonts w:hint="eastAsia" w:ascii="楷体_GB2312" w:hAnsi="宋体" w:eastAsia="楷体_GB2312" w:cs="Times New Roman"/>
          <w:sz w:val="24"/>
          <w:szCs w:val="24"/>
        </w:rPr>
        <w:t xml:space="preserve">：王成端 </w:t>
      </w:r>
      <w:r>
        <w:rPr>
          <w:rFonts w:ascii="楷体_GB2312" w:hAnsi="宋体" w:eastAsia="楷体_GB2312" w:cs="Times New Roman"/>
          <w:sz w:val="24"/>
          <w:szCs w:val="24"/>
        </w:rPr>
        <w:t>四川文理学院党委书记</w:t>
      </w:r>
      <w:r>
        <w:rPr>
          <w:rFonts w:hint="eastAsia" w:ascii="楷体_GB2312" w:hAnsi="宋体" w:eastAsia="楷体_GB2312" w:cs="Times New Roman"/>
          <w:sz w:val="24"/>
          <w:szCs w:val="24"/>
        </w:rPr>
        <w:t>、</w:t>
      </w:r>
      <w:r>
        <w:rPr>
          <w:rFonts w:ascii="楷体_GB2312" w:hAnsi="宋体" w:eastAsia="楷体_GB2312" w:cs="Times New Roman"/>
          <w:sz w:val="24"/>
          <w:szCs w:val="24"/>
        </w:rPr>
        <w:t>教授</w:t>
      </w:r>
      <w:r>
        <w:rPr>
          <w:rFonts w:hint="eastAsia" w:ascii="楷体_GB2312" w:hAnsi="宋体" w:eastAsia="楷体_GB2312" w:cs="Times New Roman"/>
          <w:sz w:val="24"/>
          <w:szCs w:val="24"/>
        </w:rPr>
        <w:t>、</w:t>
      </w:r>
      <w:r>
        <w:rPr>
          <w:rFonts w:ascii="楷体_GB2312" w:hAnsi="宋体" w:eastAsia="楷体_GB2312" w:cs="Times New Roman"/>
          <w:sz w:val="24"/>
          <w:szCs w:val="24"/>
        </w:rPr>
        <w:t>博士生导师</w:t>
      </w:r>
      <w:r>
        <w:rPr>
          <w:rFonts w:hint="eastAsia" w:ascii="楷体_GB2312" w:hAnsi="宋体" w:eastAsia="楷体_GB2312" w:cs="Times New Roman"/>
          <w:sz w:val="24"/>
          <w:szCs w:val="24"/>
        </w:rPr>
        <w:t>）</w:t>
      </w:r>
    </w:p>
    <w:p>
      <w:pPr>
        <w:pStyle w:val="3"/>
        <w:jc w:val="center"/>
        <w:rPr>
          <w:rFonts w:ascii="宋体" w:hAnsi="宋体" w:eastAsia="宋体"/>
          <w:sz w:val="30"/>
          <w:szCs w:val="30"/>
        </w:rPr>
      </w:pPr>
      <w:bookmarkStart w:id="14" w:name="_Toc38614674"/>
      <w:r>
        <w:rPr>
          <w:rFonts w:hint="eastAsia" w:ascii="宋体" w:hAnsi="宋体" w:eastAsia="宋体"/>
          <w:sz w:val="30"/>
          <w:szCs w:val="30"/>
        </w:rPr>
        <w:t>高校“云”授课</w:t>
      </w:r>
      <w:r>
        <w:rPr>
          <w:rFonts w:ascii="宋体" w:hAnsi="宋体" w:eastAsia="宋体"/>
          <w:sz w:val="30"/>
          <w:szCs w:val="30"/>
        </w:rPr>
        <w:t xml:space="preserve"> 如何接“地”气</w:t>
      </w:r>
      <w:bookmarkEnd w:id="14"/>
    </w:p>
    <w:p>
      <w:pPr>
        <w:spacing w:line="360" w:lineRule="auto"/>
        <w:ind w:firstLine="480" w:firstLineChars="200"/>
        <w:rPr>
          <w:rFonts w:ascii="宋体" w:hAnsi="宋体" w:eastAsia="宋体"/>
          <w:sz w:val="24"/>
          <w:szCs w:val="24"/>
        </w:rPr>
      </w:pPr>
      <w:r>
        <w:rPr>
          <w:rFonts w:ascii="宋体" w:hAnsi="宋体" w:eastAsia="宋体"/>
          <w:sz w:val="24"/>
          <w:szCs w:val="24"/>
        </w:rPr>
        <w:t>2020年伊始，受疫情影响，全国各地正常的教育节奏被彻底打断，各大高校在仓促间开始“指挥”老师在互联网上直播授课，而这种网络“云”授课的方式，却频频出现“翻车”现象。一时间，微信朋友圈、抖音短视频等对直播授课的“吐槽”“刷宝”的内容层出不穷，这种现象的出现无疑是我们教学方式不接地气所造成的——课堂在空中，但是教学方式必须落在脚下。当高校教师们把线下讲授的内容搬至互联网进行直播，讲授内容不变却保证不了教学效果，应当如何改变这种局面呢？</w:t>
      </w:r>
    </w:p>
    <w:p>
      <w:pPr>
        <w:spacing w:line="360" w:lineRule="auto"/>
        <w:ind w:firstLine="472" w:firstLineChars="196"/>
        <w:rPr>
          <w:rFonts w:ascii="宋体" w:hAnsi="宋体" w:eastAsia="宋体"/>
          <w:b/>
          <w:bCs/>
          <w:sz w:val="24"/>
          <w:szCs w:val="24"/>
        </w:rPr>
      </w:pPr>
      <w:r>
        <w:rPr>
          <w:rFonts w:hint="eastAsia" w:ascii="宋体" w:hAnsi="宋体" w:eastAsia="宋体"/>
          <w:b/>
          <w:bCs/>
          <w:sz w:val="24"/>
          <w:szCs w:val="24"/>
        </w:rPr>
        <w:t>不是所有课程都适合网络直播</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笔者认为，首先，高校应当深刻认识网络教学同线下教学的差异，改变教学计划，开设适合网络授课的课程。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线上授课有一定的局限性，直播授课不是简单地将线下课堂搬上线上，而是需要因地制宜。换而言之，在直播授课前，相关部门应当研制适用于网络授课的教学计划，不能一味照搬原有的课程。</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且不说涉及实验的课程在互联网上无法动手操作，即便是理论课程，也面临此种窘境。以美术、摄影类课程为例，此类课程在讲授的过程中必定涉及色彩、曝光，所以对画面质量要求较高，但在“云”授课的过程中，却往往因为网络质量等外部原因不能将内容清晰地传递到学生端，这就造成了在学习上的不适性。而对高校的影视类专业教师来说，其讲授的部分课程具有一定的实操性，例如电视摄像、摄影课程的实操演示阶段，作为直播、录课场所的家庭是无法满足灯光、布景、音效等特殊要求的，这就导致教师在授课阶段也是无法将内容百分百讲授给学生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不是所有的课程都适合网络直播。故此，笔者认为，高校的教务相关部门应当考虑到此种因素，在网络授课的课程上进行一定设计，另外还要对相关课程的教师进行培训，引导教师引用互联网资源进行网络授课不足的弥补，以适应新时期的变化，这既是给学生减负又是给教师减负。</w:t>
      </w:r>
    </w:p>
    <w:p>
      <w:pPr>
        <w:spacing w:line="360" w:lineRule="auto"/>
        <w:ind w:firstLine="472" w:firstLineChars="196"/>
        <w:rPr>
          <w:rFonts w:ascii="宋体" w:hAnsi="宋体" w:eastAsia="宋体"/>
          <w:b/>
          <w:bCs/>
          <w:sz w:val="24"/>
          <w:szCs w:val="24"/>
        </w:rPr>
      </w:pPr>
      <w:r>
        <w:rPr>
          <w:rFonts w:hint="eastAsia" w:ascii="宋体" w:hAnsi="宋体" w:eastAsia="宋体"/>
          <w:b/>
          <w:bCs/>
          <w:sz w:val="24"/>
          <w:szCs w:val="24"/>
        </w:rPr>
        <w:t>“云”课堂要有趣味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其次，要把“云”授课的内容实现教与学的统一。</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互联网的出现，改变了传统的教育教学方式，学生获取知识的渠道不再单一，庞大的互联网数据库成为了学生获取知识的重要来源。在不少学生看来，网络直播授课纯属“鸡肋”。他们认为自己可以在互联网上寻到名师讲授的、适合自己的视频课程，故此，在教师的教学过程中，一些学生在屏幕前并没有认真倾听。</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笔者认为：教师的授课不是目的，学生是否认真学习、听懂弄会才是终极目标，这也是停课不停学的意义所在。</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作为思想最为活跃群体的</w:t>
      </w:r>
      <w:r>
        <w:rPr>
          <w:rFonts w:ascii="宋体" w:hAnsi="宋体" w:eastAsia="宋体"/>
          <w:sz w:val="24"/>
          <w:szCs w:val="24"/>
        </w:rPr>
        <w:t>95后、00后成为高校学生群体的主流时，高校开设的课程如何跨越这种圈层，讲授出适合学生、吸引学生的网络内容呢？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不少网络视频课程年代久远，其所举的例子、引用的概念不是最新鲜时髦的，其贴合程度对</w:t>
      </w:r>
      <w:r>
        <w:rPr>
          <w:rFonts w:ascii="宋体" w:hAnsi="宋体" w:eastAsia="宋体"/>
          <w:sz w:val="24"/>
          <w:szCs w:val="24"/>
        </w:rPr>
        <w:t>00后的学生来说较差。笔者认为，最为重要的是教师的课堂必须走入学生们感兴趣的领域，把握住大多数学生的心理，营造一个有趣味的课堂，引入最新的理念，引用最新的例子，吸引学生的目光，在潜移默化中完成教与学的统一。</w:t>
      </w:r>
    </w:p>
    <w:p>
      <w:pPr>
        <w:spacing w:line="360" w:lineRule="auto"/>
        <w:ind w:firstLine="472" w:firstLineChars="196"/>
        <w:rPr>
          <w:rFonts w:ascii="宋体" w:hAnsi="宋体" w:eastAsia="宋体"/>
          <w:b/>
          <w:bCs/>
          <w:sz w:val="24"/>
          <w:szCs w:val="24"/>
        </w:rPr>
      </w:pPr>
      <w:r>
        <w:rPr>
          <w:rFonts w:hint="eastAsia" w:ascii="宋体" w:hAnsi="宋体" w:eastAsia="宋体"/>
          <w:b/>
          <w:bCs/>
          <w:sz w:val="24"/>
          <w:szCs w:val="24"/>
        </w:rPr>
        <w:t>让学生成为网络授课的主体</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最后，开放课堂，用交互方式引导学生利用网络资源。</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网络“云”授课，其最重要的媒介就是网络。让学生守在屏幕前凝视课堂两三个小时是不可能的，即便有着课间休息，学生也会因为注意力等问题选择“弃看”。所以，高校教师应当将课堂“转动”过来，充分利用网络空间，让学生参与到课堂教学中，让学生成为网络授课的主体，借此保证学生的注意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一方面，高校教师可以凭借网络空间建立相关群，给学生课下预习任务，并随之在课堂上进行检测，此举能够改变课后交作业的单一局面，“迫使”学生进行预习工作，让学生在前期通过互联网查找资源的方式熟悉课程。另一方面，在课堂讲授阶段，可以采用随堂测、随知识点测的课堂问答方法，让学生巩固学习知识，抽查的方式也保证了学生的听课度。除此之外，在授课时间上，不妨尽量缩短教师在课堂上的讲授时间，拿出一半时间进行师生互动、学生互动，在网络聊天的轻松语境中让学生以团队合作的方式完成目标任务。笔者认为，这样能够改变教师为主的片面讲授工作，而是让学生成为主体参与到网络授课过程中来。</w:t>
      </w:r>
    </w:p>
    <w:p>
      <w:pPr>
        <w:spacing w:line="360" w:lineRule="auto"/>
        <w:ind w:firstLine="480" w:firstLineChars="200"/>
        <w:rPr>
          <w:rFonts w:ascii="宋体" w:hAnsi="宋体" w:eastAsia="宋体"/>
          <w:sz w:val="24"/>
          <w:szCs w:val="24"/>
        </w:rPr>
      </w:pPr>
      <w:r>
        <w:rPr>
          <w:rFonts w:hint="eastAsia" w:ascii="宋体" w:hAnsi="宋体" w:eastAsia="宋体"/>
          <w:sz w:val="24"/>
          <w:szCs w:val="24"/>
        </w:rPr>
        <w:t>自然，这种方式无疑是带有强制性的方式让学生停留在课堂上。笔者建议，不妨更加大胆一点、更“虚怀若谷”一点，给予部分学生能够选择脱离“课堂”的机会。倘若一部分学生在互联网上发现了与本门课程相关、且更为适合自己的视频课程，教师便允许其不收看自己的课程视频、允准学生采用互联网课程学习，在课程结束后，通过语音、作业等方式检验学生成果，若效果可以，就让学生继续采用互联网视频学习的方式，这既做到了“停课不停学”，又做到了因材施教。</w:t>
      </w:r>
    </w:p>
    <w:p>
      <w:pPr>
        <w:spacing w:line="360" w:lineRule="auto"/>
        <w:ind w:firstLine="480" w:firstLineChars="200"/>
        <w:rPr>
          <w:rFonts w:ascii="宋体" w:hAnsi="宋体" w:eastAsia="宋体"/>
          <w:sz w:val="28"/>
          <w:szCs w:val="28"/>
        </w:rPr>
      </w:pPr>
      <w:r>
        <w:rPr>
          <w:rFonts w:hint="eastAsia" w:ascii="宋体" w:hAnsi="宋体" w:eastAsia="宋体"/>
          <w:sz w:val="24"/>
          <w:szCs w:val="24"/>
        </w:rPr>
        <w:t>这次突发的疫情让网络“云”授课成为主流，学生与教师均卷入了这场变革之中。然而伴随授课方式变革的网络服务期、硬件设备等一系列“后勤”服务尚未完善，急需业界与学界进行探讨。但是，在有限的资源中，笔者认为，高校教师必须做好课程服务，在课程设计、教学方式上进行不同于线下课程的变革，这才是此次网络“云”授课的可行之路。</w:t>
      </w:r>
      <w:r>
        <w:rPr>
          <w:rFonts w:hint="eastAsia" w:ascii="楷体_GB2312" w:hAnsi="宋体" w:eastAsia="楷体_GB2312" w:cs="Times New Roman"/>
          <w:sz w:val="24"/>
          <w:szCs w:val="24"/>
        </w:rPr>
        <w:t>（来源：《中国青年报》。作者：邓静，单位：四川传媒学院）</w:t>
      </w:r>
    </w:p>
    <w:p>
      <w:pPr>
        <w:spacing w:line="360" w:lineRule="auto"/>
        <w:rPr>
          <w:rFonts w:ascii="宋体" w:hAnsi="宋体" w:eastAsia="宋体" w:cs="Times New Roman"/>
          <w:b/>
          <w:sz w:val="30"/>
          <w:szCs w:val="30"/>
        </w:rPr>
      </w:pPr>
      <w:r>
        <w:rPr>
          <w:rFonts w:hint="eastAsia" w:ascii="宋体" w:hAnsi="宋体" w:eastAsia="宋体" w:cs="Times New Roman"/>
          <w:b/>
          <w:sz w:val="30"/>
          <w:szCs w:val="30"/>
        </w:rPr>
        <w:t>他山之石</w:t>
      </w:r>
    </w:p>
    <w:p>
      <w:pPr>
        <w:pStyle w:val="3"/>
        <w:jc w:val="center"/>
        <w:rPr>
          <w:rFonts w:ascii="宋体" w:hAnsi="宋体" w:eastAsia="宋体"/>
          <w:sz w:val="30"/>
          <w:szCs w:val="30"/>
        </w:rPr>
      </w:pPr>
      <w:bookmarkStart w:id="15" w:name="_Toc38614675"/>
      <w:r>
        <w:rPr>
          <w:rFonts w:hint="eastAsia" w:ascii="宋体" w:hAnsi="宋体" w:eastAsia="宋体"/>
          <w:sz w:val="30"/>
          <w:szCs w:val="30"/>
        </w:rPr>
        <w:t>河南科技大学：产学研融合发展为“新引擎”注入新动能</w:t>
      </w:r>
      <w:bookmarkEnd w:id="15"/>
    </w:p>
    <w:p>
      <w:pPr>
        <w:spacing w:line="360" w:lineRule="auto"/>
        <w:ind w:firstLine="480" w:firstLineChars="200"/>
        <w:rPr>
          <w:rFonts w:ascii="宋体" w:hAnsi="宋体" w:eastAsia="宋体"/>
          <w:sz w:val="24"/>
          <w:szCs w:val="24"/>
        </w:rPr>
      </w:pPr>
      <w:r>
        <w:rPr>
          <w:rFonts w:hint="eastAsia" w:ascii="宋体" w:hAnsi="宋体" w:eastAsia="宋体"/>
          <w:sz w:val="24"/>
          <w:szCs w:val="24"/>
        </w:rPr>
        <w:t>一所地方综合性大学，如何在服务一座工业城市转型升级创新发展中作出更大贡献？</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河南科技大学紧跟洛阳市发展需要，主动与大型企业、大型科研院所密切协作，坚定不移推进产学研深度融合发展，为洛阳市打造引领河南省发展的‘双引擎’注入新动能、提供新支撑。”在年初的河南省两会上，省人大代表、河南科技大学校长孔留安的发言，得到教育界的广泛认可。</w:t>
      </w:r>
    </w:p>
    <w:p>
      <w:pPr>
        <w:spacing w:line="360" w:lineRule="auto"/>
        <w:rPr>
          <w:rFonts w:ascii="宋体" w:hAnsi="宋体" w:eastAsia="宋体"/>
          <w:sz w:val="24"/>
          <w:szCs w:val="24"/>
        </w:rPr>
      </w:pPr>
      <w:r>
        <w:rPr>
          <w:rFonts w:hint="eastAsia" w:ascii="宋体" w:hAnsi="宋体" w:eastAsia="宋体"/>
          <w:sz w:val="24"/>
          <w:szCs w:val="24"/>
        </w:rPr>
        <w:t>　　</w:t>
      </w:r>
      <w:r>
        <w:rPr>
          <w:rFonts w:ascii="宋体" w:hAnsi="宋体" w:eastAsia="宋体"/>
          <w:sz w:val="24"/>
          <w:szCs w:val="24"/>
        </w:rPr>
        <w:t>1952年始建于北京的河南科技大学，是国家为配合实施“一五计划”建立的首批工科院校之一。在近70年的办学历程中，学校依托洛阳作为国家重要工业基地的地域优势和长期在机械行业办学的行业优势，始终突出产学研深度融合发展的办学特色，勇担区域发展“发动机”和“领头羊”的角色，为服务地方经济社会发展交出一份优秀答卷。</w:t>
      </w:r>
    </w:p>
    <w:p>
      <w:pPr>
        <w:spacing w:line="360" w:lineRule="auto"/>
        <w:rPr>
          <w:rFonts w:ascii="宋体" w:hAnsi="宋体" w:eastAsia="宋体"/>
          <w:b/>
          <w:bCs/>
          <w:sz w:val="24"/>
          <w:szCs w:val="24"/>
        </w:rPr>
      </w:pPr>
      <w:r>
        <w:rPr>
          <w:rFonts w:hint="eastAsia" w:ascii="宋体" w:hAnsi="宋体" w:eastAsia="宋体"/>
          <w:sz w:val="24"/>
          <w:szCs w:val="24"/>
        </w:rPr>
        <w:t>　　</w:t>
      </w:r>
      <w:r>
        <w:rPr>
          <w:rFonts w:hint="eastAsia" w:ascii="宋体" w:hAnsi="宋体" w:eastAsia="宋体"/>
          <w:b/>
          <w:bCs/>
          <w:sz w:val="24"/>
          <w:szCs w:val="24"/>
        </w:rPr>
        <w:t>“顶天”科研：科技创新解决行业“卡脖子”问题</w:t>
      </w:r>
    </w:p>
    <w:p>
      <w:pPr>
        <w:spacing w:line="360" w:lineRule="auto"/>
        <w:rPr>
          <w:rFonts w:ascii="宋体" w:hAnsi="宋体" w:eastAsia="宋体"/>
          <w:sz w:val="24"/>
          <w:szCs w:val="24"/>
        </w:rPr>
      </w:pPr>
      <w:r>
        <w:rPr>
          <w:rFonts w:hint="eastAsia" w:ascii="宋体" w:hAnsi="宋体" w:eastAsia="宋体"/>
          <w:sz w:val="24"/>
          <w:szCs w:val="24"/>
        </w:rPr>
        <w:t>　　谢敬佩是河南省有色金属新材料与先进加工技术协同创新中心主任。该中心主要解决金属材料在极端气候条件下正常发挥功能的问题，成果广泛应用于航空、航天、航海等领域。</w:t>
      </w:r>
      <w:r>
        <w:rPr>
          <w:rFonts w:ascii="宋体" w:hAnsi="宋体" w:eastAsia="宋体"/>
          <w:sz w:val="24"/>
          <w:szCs w:val="24"/>
        </w:rPr>
        <w:t>2019年9月，该中心成功“晋升”为省部共建。</w:t>
      </w:r>
    </w:p>
    <w:p>
      <w:pPr>
        <w:spacing w:line="360" w:lineRule="auto"/>
        <w:rPr>
          <w:rFonts w:ascii="宋体" w:hAnsi="宋体" w:eastAsia="宋体"/>
          <w:sz w:val="24"/>
          <w:szCs w:val="24"/>
        </w:rPr>
      </w:pPr>
      <w:r>
        <w:rPr>
          <w:rFonts w:hint="eastAsia" w:ascii="宋体" w:hAnsi="宋体" w:eastAsia="宋体"/>
          <w:sz w:val="24"/>
          <w:szCs w:val="24"/>
        </w:rPr>
        <w:t>　　“目前我们中心有</w:t>
      </w:r>
      <w:r>
        <w:rPr>
          <w:rFonts w:ascii="宋体" w:hAnsi="宋体" w:eastAsia="宋体"/>
          <w:sz w:val="24"/>
          <w:szCs w:val="24"/>
        </w:rPr>
        <w:t>200多家协同企业，通过产业链条密切协作，创造效益超过400亿元。”谢敬佩说，以金属钼为例，该中心从钼矿开采到钼粉加工再到钼产品开发，中心通过研发体制、机制的创新，搭建起了完整的链条。</w:t>
      </w:r>
    </w:p>
    <w:p>
      <w:pPr>
        <w:spacing w:line="360" w:lineRule="auto"/>
        <w:rPr>
          <w:rFonts w:ascii="宋体" w:hAnsi="宋体" w:eastAsia="宋体"/>
          <w:sz w:val="24"/>
          <w:szCs w:val="24"/>
        </w:rPr>
      </w:pPr>
      <w:r>
        <w:rPr>
          <w:rFonts w:hint="eastAsia" w:ascii="宋体" w:hAnsi="宋体" w:eastAsia="宋体"/>
          <w:sz w:val="24"/>
          <w:szCs w:val="24"/>
        </w:rPr>
        <w:t>　　无独有偶。展厅里的一项项成果、一张张“国家级”证书，让材料科学与工程学院在金属材料行业“声名鹊起”。其中，由铜合金创新团队牵头完成的“高强高导铜合金关键制备加工技术开发及应用”科研成果，推动我国百万伏特高压输变线路开关设备由全部依赖进口向全面国产化转变，目前这一成果在全国</w:t>
      </w:r>
      <w:r>
        <w:rPr>
          <w:rFonts w:ascii="宋体" w:hAnsi="宋体" w:eastAsia="宋体"/>
          <w:sz w:val="24"/>
          <w:szCs w:val="24"/>
        </w:rPr>
        <w:t>10多家企业得到广泛应用，并获得2017年度国家科学技术进步二等奖。</w:t>
      </w:r>
    </w:p>
    <w:p>
      <w:pPr>
        <w:spacing w:line="360" w:lineRule="auto"/>
        <w:rPr>
          <w:rFonts w:ascii="宋体" w:hAnsi="宋体" w:eastAsia="宋体"/>
          <w:sz w:val="24"/>
          <w:szCs w:val="24"/>
        </w:rPr>
      </w:pPr>
      <w:r>
        <w:rPr>
          <w:rFonts w:hint="eastAsia" w:ascii="宋体" w:hAnsi="宋体" w:eastAsia="宋体"/>
          <w:sz w:val="24"/>
          <w:szCs w:val="24"/>
        </w:rPr>
        <w:t>　　“我们河科大的每一项科技创新，都不是埋头在实验室内完成的。”曾在</w:t>
      </w:r>
      <w:r>
        <w:rPr>
          <w:rFonts w:ascii="宋体" w:hAnsi="宋体" w:eastAsia="宋体"/>
          <w:sz w:val="24"/>
          <w:szCs w:val="24"/>
        </w:rPr>
        <w:t>2013年、2016年两次获得国家科学技术进步二等奖的魏世忠说，河南科技大学的每一项发明、每一项创新，都是着力解决实际问题、创造实际价值的。</w:t>
      </w:r>
    </w:p>
    <w:p>
      <w:pPr>
        <w:spacing w:line="360" w:lineRule="auto"/>
        <w:rPr>
          <w:rFonts w:ascii="宋体" w:hAnsi="宋体" w:eastAsia="宋体"/>
          <w:sz w:val="24"/>
          <w:szCs w:val="24"/>
        </w:rPr>
      </w:pPr>
      <w:r>
        <w:rPr>
          <w:rFonts w:hint="eastAsia" w:ascii="宋体" w:hAnsi="宋体" w:eastAsia="宋体"/>
          <w:sz w:val="24"/>
          <w:szCs w:val="24"/>
        </w:rPr>
        <w:t>　　</w:t>
      </w:r>
      <w:r>
        <w:rPr>
          <w:rFonts w:ascii="宋体" w:hAnsi="宋体" w:eastAsia="宋体"/>
          <w:sz w:val="24"/>
          <w:szCs w:val="24"/>
        </w:rPr>
        <w:t>2008年，中信重工在研制全球规格最大、技术最先进的“新重机”过程中，面向全球发出招标公告，来解决重达520吨的油压机上横梁一次性浇铸成功的技术难题。招标公告发出数月，没有一家企业应标。</w:t>
      </w:r>
    </w:p>
    <w:p>
      <w:pPr>
        <w:spacing w:line="360" w:lineRule="auto"/>
        <w:rPr>
          <w:rFonts w:ascii="宋体" w:hAnsi="宋体" w:eastAsia="宋体"/>
          <w:sz w:val="24"/>
          <w:szCs w:val="24"/>
        </w:rPr>
      </w:pPr>
      <w:r>
        <w:rPr>
          <w:rFonts w:hint="eastAsia" w:ascii="宋体" w:hAnsi="宋体" w:eastAsia="宋体"/>
          <w:sz w:val="24"/>
          <w:szCs w:val="24"/>
        </w:rPr>
        <w:t>　　魏世忠带领河南科技大学科研人员进入车间，冒着</w:t>
      </w:r>
      <w:r>
        <w:rPr>
          <w:rFonts w:ascii="宋体" w:hAnsi="宋体" w:eastAsia="宋体"/>
          <w:sz w:val="24"/>
          <w:szCs w:val="24"/>
        </w:rPr>
        <w:t>70度的高温，身着防护服跟技术人员和工人们奋战在生产一线，解决了一项项技术难题，设计出了最稳定、最安全的方案。最终，一次性浇铸出520吨的“世界第一铸件”。</w:t>
      </w:r>
    </w:p>
    <w:p>
      <w:pPr>
        <w:spacing w:line="360" w:lineRule="auto"/>
        <w:rPr>
          <w:rFonts w:ascii="宋体" w:hAnsi="宋体" w:eastAsia="宋体"/>
          <w:sz w:val="24"/>
          <w:szCs w:val="24"/>
        </w:rPr>
      </w:pPr>
      <w:r>
        <w:rPr>
          <w:rFonts w:hint="eastAsia" w:ascii="宋体" w:hAnsi="宋体" w:eastAsia="宋体"/>
          <w:sz w:val="24"/>
          <w:szCs w:val="24"/>
        </w:rPr>
        <w:t>　　一直以来，河南科技大学主动瞄准洛阳市在发展先进装备制造、新材料、高端石油化工等主导产业中遇到的“卡脖子”问题集中发力、精准发力，推动着“洛阳制造”向“洛阳智造”转变。</w:t>
      </w:r>
      <w:r>
        <w:rPr>
          <w:rFonts w:ascii="宋体" w:hAnsi="宋体" w:eastAsia="宋体"/>
          <w:sz w:val="24"/>
          <w:szCs w:val="24"/>
        </w:rPr>
        <w:t>2013年以来，河科大先后斩获6项国家科学技术奖，每一项都在行业内得到广泛应用和推广。</w:t>
      </w:r>
    </w:p>
    <w:p>
      <w:pPr>
        <w:spacing w:line="360" w:lineRule="auto"/>
        <w:rPr>
          <w:rFonts w:ascii="宋体" w:hAnsi="宋体" w:eastAsia="宋体"/>
          <w:b/>
          <w:bCs/>
          <w:sz w:val="24"/>
          <w:szCs w:val="24"/>
        </w:rPr>
      </w:pPr>
      <w:r>
        <w:rPr>
          <w:rFonts w:hint="eastAsia" w:ascii="宋体" w:hAnsi="宋体" w:eastAsia="宋体"/>
          <w:sz w:val="24"/>
          <w:szCs w:val="24"/>
        </w:rPr>
        <w:t>　　</w:t>
      </w:r>
      <w:r>
        <w:rPr>
          <w:rFonts w:hint="eastAsia" w:ascii="宋体" w:hAnsi="宋体" w:eastAsia="宋体"/>
          <w:b/>
          <w:bCs/>
          <w:sz w:val="24"/>
          <w:szCs w:val="24"/>
        </w:rPr>
        <w:t>“立地”帮扶：全员上阵助力贫困县“蝶变”</w:t>
      </w:r>
    </w:p>
    <w:p>
      <w:pPr>
        <w:spacing w:line="360" w:lineRule="auto"/>
        <w:rPr>
          <w:rFonts w:ascii="宋体" w:hAnsi="宋体" w:eastAsia="宋体"/>
          <w:sz w:val="24"/>
          <w:szCs w:val="24"/>
        </w:rPr>
      </w:pPr>
      <w:r>
        <w:rPr>
          <w:rFonts w:hint="eastAsia" w:ascii="宋体" w:hAnsi="宋体" w:eastAsia="宋体"/>
          <w:sz w:val="24"/>
          <w:szCs w:val="24"/>
        </w:rPr>
        <w:t>　　在洛阳市汝阳县刘店镇红里村，</w:t>
      </w:r>
      <w:r>
        <w:rPr>
          <w:rFonts w:ascii="宋体" w:hAnsi="宋体" w:eastAsia="宋体"/>
          <w:sz w:val="24"/>
          <w:szCs w:val="24"/>
        </w:rPr>
        <w:t>81岁的村民李朵颤巍巍地来到了村卫生室，因为头痛失眠，她已经好几晚没有睡着觉了。</w:t>
      </w:r>
    </w:p>
    <w:p>
      <w:pPr>
        <w:spacing w:line="360" w:lineRule="auto"/>
        <w:rPr>
          <w:rFonts w:ascii="宋体" w:hAnsi="宋体" w:eastAsia="宋体"/>
          <w:sz w:val="24"/>
          <w:szCs w:val="24"/>
        </w:rPr>
      </w:pPr>
      <w:r>
        <w:rPr>
          <w:rFonts w:hint="eastAsia" w:ascii="宋体" w:hAnsi="宋体" w:eastAsia="宋体"/>
          <w:sz w:val="24"/>
          <w:szCs w:val="24"/>
        </w:rPr>
        <w:t>　　村医王建政熟练地打开电脑，点击远程医疗终端，</w:t>
      </w:r>
      <w:r>
        <w:rPr>
          <w:rFonts w:ascii="宋体" w:hAnsi="宋体" w:eastAsia="宋体"/>
          <w:sz w:val="24"/>
          <w:szCs w:val="24"/>
        </w:rPr>
        <w:t>100公里之外，河科大第一附属医院的医生礼萍出现在电脑屏幕上。通过视频问诊，加上村医的病情介绍，礼萍很快给出了诊断建议。就这样，不挂号、不收费、不出村，李朵就完成了三级甲等医院的一次诊疗。如今，像这样方便快捷的“网络医院”，已经在汝阳县的216个村实现了全覆盖，群众在家门口就能享受到河科大一附院的诊疗服务，基本实现了“90%的病人就诊不出县”的目标。</w:t>
      </w:r>
    </w:p>
    <w:p>
      <w:pPr>
        <w:spacing w:line="360" w:lineRule="auto"/>
        <w:rPr>
          <w:rFonts w:ascii="宋体" w:hAnsi="宋体" w:eastAsia="宋体"/>
          <w:sz w:val="24"/>
          <w:szCs w:val="24"/>
        </w:rPr>
      </w:pPr>
      <w:r>
        <w:rPr>
          <w:rFonts w:hint="eastAsia" w:ascii="宋体" w:hAnsi="宋体" w:eastAsia="宋体"/>
          <w:sz w:val="24"/>
          <w:szCs w:val="24"/>
        </w:rPr>
        <w:t>　　河科大为</w:t>
      </w:r>
      <w:r>
        <w:rPr>
          <w:rFonts w:ascii="宋体" w:hAnsi="宋体" w:eastAsia="宋体"/>
          <w:sz w:val="24"/>
          <w:szCs w:val="24"/>
        </w:rPr>
        <w:t>100个村庄免费提供“远程医疗”会诊设备，对全县216个行政村卫生室的300多名村医进行操作培训，牵头搭建远程医疗平台，抽出骨干医生常年坐诊，健全会诊、转诊等服务体系，帮助汝阳县在河南省率先建成了覆盖县、乡、村三级的远程诊疗体系。</w:t>
      </w:r>
    </w:p>
    <w:p>
      <w:pPr>
        <w:spacing w:line="360" w:lineRule="auto"/>
        <w:rPr>
          <w:rFonts w:ascii="宋体" w:hAnsi="宋体" w:eastAsia="宋体"/>
          <w:sz w:val="24"/>
          <w:szCs w:val="24"/>
        </w:rPr>
      </w:pPr>
      <w:r>
        <w:rPr>
          <w:rFonts w:hint="eastAsia" w:ascii="宋体" w:hAnsi="宋体" w:eastAsia="宋体"/>
          <w:sz w:val="24"/>
          <w:szCs w:val="24"/>
        </w:rPr>
        <w:t>　　河南科技大学对汝阳县的帮扶，并不局限于互联网医院。</w:t>
      </w:r>
      <w:r>
        <w:rPr>
          <w:rFonts w:ascii="宋体" w:hAnsi="宋体" w:eastAsia="宋体"/>
          <w:sz w:val="24"/>
          <w:szCs w:val="24"/>
        </w:rPr>
        <w:t>2018年，河南科技大学教授李友军和农学院甘薯研究团队一起，把甘薯脱毒、快繁技术带到汝阳县，指导农民试种脱毒红薯，当年便大获成功：平均亩产由原来的3000斤提高到4000～5000斤，价格也由原来的每斤0.5元左右上涨到1.5元。如今，在河科大的帮扶下，脱毒红薯在汝阳、伊川等县种植发展达到6万亩，一大批农民靠着种红薯走上了致富路。</w:t>
      </w:r>
    </w:p>
    <w:p>
      <w:pPr>
        <w:spacing w:line="360" w:lineRule="auto"/>
        <w:rPr>
          <w:rFonts w:ascii="宋体" w:hAnsi="宋体" w:eastAsia="宋体"/>
          <w:sz w:val="24"/>
          <w:szCs w:val="24"/>
        </w:rPr>
      </w:pPr>
      <w:r>
        <w:rPr>
          <w:rFonts w:hint="eastAsia" w:ascii="宋体" w:hAnsi="宋体" w:eastAsia="宋体"/>
          <w:sz w:val="24"/>
          <w:szCs w:val="24"/>
        </w:rPr>
        <w:t>　　“自脱贫攻坚战打响以来，河南科技大学举全校之力，全方位多系统地进行无私帮扶，为汝阳县高质量脱贫增添了强大动力，目前汝阳县已经脱贫摘帽，退出贫困县序列。”汝阳县委常委、副县长常永涛说。</w:t>
      </w:r>
    </w:p>
    <w:p>
      <w:pPr>
        <w:spacing w:line="360" w:lineRule="auto"/>
        <w:rPr>
          <w:rFonts w:ascii="宋体" w:hAnsi="宋体" w:eastAsia="宋体"/>
          <w:b/>
          <w:bCs/>
          <w:sz w:val="24"/>
          <w:szCs w:val="24"/>
        </w:rPr>
      </w:pPr>
      <w:r>
        <w:rPr>
          <w:rFonts w:hint="eastAsia" w:ascii="宋体" w:hAnsi="宋体" w:eastAsia="宋体"/>
          <w:sz w:val="24"/>
          <w:szCs w:val="24"/>
        </w:rPr>
        <w:t>　　</w:t>
      </w:r>
      <w:r>
        <w:rPr>
          <w:rFonts w:hint="eastAsia" w:ascii="宋体" w:hAnsi="宋体" w:eastAsia="宋体"/>
          <w:b/>
          <w:bCs/>
          <w:sz w:val="24"/>
          <w:szCs w:val="24"/>
        </w:rPr>
        <w:t>基因：</w:t>
      </w:r>
      <w:r>
        <w:rPr>
          <w:rFonts w:ascii="宋体" w:hAnsi="宋体" w:eastAsia="宋体"/>
          <w:b/>
          <w:bCs/>
          <w:sz w:val="24"/>
          <w:szCs w:val="24"/>
        </w:rPr>
        <w:t>70年如一日推进产学研融合发展</w:t>
      </w:r>
    </w:p>
    <w:p>
      <w:pPr>
        <w:spacing w:line="360" w:lineRule="auto"/>
        <w:rPr>
          <w:rFonts w:ascii="宋体" w:hAnsi="宋体" w:eastAsia="宋体"/>
          <w:sz w:val="24"/>
          <w:szCs w:val="24"/>
        </w:rPr>
      </w:pPr>
      <w:r>
        <w:rPr>
          <w:rFonts w:hint="eastAsia" w:ascii="宋体" w:hAnsi="宋体" w:eastAsia="宋体"/>
          <w:sz w:val="24"/>
          <w:szCs w:val="24"/>
        </w:rPr>
        <w:t>　　鼓励专家教授们走出校门，在产学研融合发展中服务地方经济社会发展，这是河南科技大学成立近</w:t>
      </w:r>
      <w:r>
        <w:rPr>
          <w:rFonts w:ascii="宋体" w:hAnsi="宋体" w:eastAsia="宋体"/>
          <w:sz w:val="24"/>
          <w:szCs w:val="24"/>
        </w:rPr>
        <w:t>70年来一以贯之的办学特色。</w:t>
      </w:r>
    </w:p>
    <w:p>
      <w:pPr>
        <w:spacing w:line="360" w:lineRule="auto"/>
        <w:rPr>
          <w:rFonts w:ascii="宋体" w:hAnsi="宋体" w:eastAsia="宋体"/>
          <w:sz w:val="24"/>
          <w:szCs w:val="24"/>
        </w:rPr>
      </w:pPr>
      <w:r>
        <w:rPr>
          <w:rFonts w:hint="eastAsia" w:ascii="宋体" w:hAnsi="宋体" w:eastAsia="宋体"/>
          <w:sz w:val="24"/>
          <w:szCs w:val="24"/>
        </w:rPr>
        <w:t>　　“河南科技大学有天然的产学研融合基因。”在采访中，老师们说得最多的就是这句话。</w:t>
      </w:r>
      <w:r>
        <w:rPr>
          <w:rFonts w:ascii="宋体" w:hAnsi="宋体" w:eastAsia="宋体"/>
          <w:sz w:val="24"/>
          <w:szCs w:val="24"/>
        </w:rPr>
        <w:t>1956年，为适应国家工业布局调整，学校迁至洛阳，从此扎根于洛阳、发展于洛阳、服务于洛阳，并成长为一所工科优势突出、理工农医文多学科协调发展的综合性大学。</w:t>
      </w:r>
    </w:p>
    <w:p>
      <w:pPr>
        <w:spacing w:line="360" w:lineRule="auto"/>
        <w:rPr>
          <w:rFonts w:ascii="宋体" w:hAnsi="宋体" w:eastAsia="宋体"/>
          <w:sz w:val="24"/>
          <w:szCs w:val="24"/>
        </w:rPr>
      </w:pPr>
      <w:r>
        <w:rPr>
          <w:rFonts w:hint="eastAsia" w:ascii="宋体" w:hAnsi="宋体" w:eastAsia="宋体"/>
          <w:sz w:val="24"/>
          <w:szCs w:val="24"/>
        </w:rPr>
        <w:t>　　“建校之初，我们是根据洛拖、洛轴、洛矿等几个大型企业的需求，设置了机械、化工、冶金、动力系（专业），形成了以生产需要、企业需求来确定专业设置的办学传统。”长期从事机械装备测量、控制和仿真分析的李济顺介绍，如今，河南科技大学已在重型装备、农业机械、轴承、齿轮、金属材料、汽车与新能源等方面形成了较强的学科、人才和科技优势，在区域和行业发展中发挥了重要作用。</w:t>
      </w:r>
    </w:p>
    <w:p>
      <w:pPr>
        <w:spacing w:line="360" w:lineRule="auto"/>
        <w:rPr>
          <w:rFonts w:ascii="宋体" w:hAnsi="宋体" w:eastAsia="宋体"/>
          <w:sz w:val="24"/>
          <w:szCs w:val="24"/>
        </w:rPr>
      </w:pPr>
      <w:r>
        <w:rPr>
          <w:rFonts w:hint="eastAsia" w:ascii="宋体" w:hAnsi="宋体" w:eastAsia="宋体"/>
          <w:sz w:val="24"/>
          <w:szCs w:val="24"/>
        </w:rPr>
        <w:t>　　在全国</w:t>
      </w:r>
      <w:r>
        <w:rPr>
          <w:rFonts w:ascii="宋体" w:hAnsi="宋体" w:eastAsia="宋体"/>
          <w:sz w:val="24"/>
          <w:szCs w:val="24"/>
        </w:rPr>
        <w:t>2000家规模以上轴承企业中，总工和技术负责人70%都是河南科技大学的毕业生，学校因此被誉为轴承专业的“黄埔军校”；从1958年参与试制我国第一台“东方红”拖拉机，到今天全系列数字化拖拉机的研发，我国农机行业的每一步发展，都融入了河南科技大学的智慧和力量，学校因此被称为农机行业的“领航员”。</w:t>
      </w:r>
    </w:p>
    <w:p>
      <w:pPr>
        <w:spacing w:line="360" w:lineRule="auto"/>
        <w:rPr>
          <w:rFonts w:ascii="宋体" w:hAnsi="宋体" w:eastAsia="宋体"/>
          <w:sz w:val="24"/>
          <w:szCs w:val="24"/>
        </w:rPr>
      </w:pPr>
      <w:r>
        <w:rPr>
          <w:rFonts w:hint="eastAsia" w:ascii="宋体" w:hAnsi="宋体" w:eastAsia="宋体"/>
          <w:sz w:val="24"/>
          <w:szCs w:val="24"/>
        </w:rPr>
        <w:t>　　河南科技大学还在发展中主动回应地方需求。为了擦亮“洛阳牡丹”这张名片，学校在全国成立了首个牡丹学院，组织科研攻关，先后培育出</w:t>
      </w:r>
      <w:r>
        <w:rPr>
          <w:rFonts w:ascii="宋体" w:hAnsi="宋体" w:eastAsia="宋体"/>
          <w:sz w:val="24"/>
          <w:szCs w:val="24"/>
        </w:rPr>
        <w:t>1500个牡丹品种，并围绕牡丹籽油、牡丹花、牡丹籽壳深加工和产品开发进行技术攻关，目前牡丹切花保鲜技术达到国际领先水平，与企业联合开发的牡丹色素应用于北京奥运会国旗手服装染色。</w:t>
      </w:r>
    </w:p>
    <w:p>
      <w:pPr>
        <w:spacing w:line="360" w:lineRule="auto"/>
        <w:rPr>
          <w:rFonts w:ascii="宋体" w:hAnsi="宋体" w:eastAsia="宋体"/>
          <w:sz w:val="24"/>
          <w:szCs w:val="24"/>
        </w:rPr>
      </w:pPr>
      <w:r>
        <w:rPr>
          <w:rFonts w:hint="eastAsia" w:ascii="宋体" w:hAnsi="宋体" w:eastAsia="宋体"/>
          <w:sz w:val="24"/>
          <w:szCs w:val="24"/>
        </w:rPr>
        <w:t>　　“河南有名分、全国有地位，创新有特色、转化有作为”，这是河南省委常委、洛阳市委书记李亚在河南科技大学调研中，多次提出的希望。</w:t>
      </w:r>
    </w:p>
    <w:p>
      <w:pPr>
        <w:spacing w:line="360" w:lineRule="auto"/>
        <w:ind w:firstLine="480"/>
        <w:rPr>
          <w:rFonts w:ascii="宋体" w:hAnsi="宋体" w:eastAsia="宋体"/>
          <w:sz w:val="24"/>
          <w:szCs w:val="24"/>
        </w:rPr>
      </w:pPr>
      <w:r>
        <w:rPr>
          <w:rFonts w:hint="eastAsia" w:ascii="宋体" w:hAnsi="宋体" w:eastAsia="宋体"/>
          <w:sz w:val="24"/>
          <w:szCs w:val="24"/>
        </w:rPr>
        <w:t>在前不久闭幕的河南省委十届十次全会上，明确提出支持洛阳建设中原城市群副中心城市，规划建设洛阳都市圈，打造引领全省发展的“双引擎”，这让河南科技大学有了新的责任和担当。河南科技大学第一时间组织专家精心谋划战略专项建议</w:t>
      </w:r>
      <w:r>
        <w:rPr>
          <w:rFonts w:ascii="宋体" w:hAnsi="宋体" w:eastAsia="宋体"/>
          <w:sz w:val="24"/>
          <w:szCs w:val="24"/>
        </w:rPr>
        <w:t>14项，积极为洛阳市融入“双引擎”发展战略提供智力支撑。</w:t>
      </w:r>
    </w:p>
    <w:p>
      <w:pPr>
        <w:spacing w:line="360" w:lineRule="auto"/>
        <w:ind w:firstLine="480"/>
        <w:rPr>
          <w:rFonts w:ascii="宋体" w:hAnsi="宋体" w:eastAsia="宋体"/>
          <w:sz w:val="24"/>
          <w:szCs w:val="24"/>
        </w:rPr>
      </w:pPr>
      <w:r>
        <w:rPr>
          <w:rFonts w:hint="eastAsia" w:ascii="宋体" w:hAnsi="宋体" w:eastAsia="宋体"/>
          <w:sz w:val="24"/>
          <w:szCs w:val="24"/>
        </w:rPr>
        <w:t>“这是洛阳建设发展的又一重大机遇，也是河南科技大学融入洛阳、推动高质量发展的新契机。我们将进一步走好产学研融合发展的道路，更好地服务于洛阳智能制造、装备制造产业集群转型升级，为洛阳打造‘新引擎’贡献一份力量。”河南科技大学党委书记崔世忠说。</w:t>
      </w:r>
      <w:r>
        <w:rPr>
          <w:rFonts w:hint="eastAsia" w:ascii="楷体_GB2312" w:hAnsi="宋体" w:eastAsia="楷体_GB2312" w:cs="Times New Roman"/>
          <w:sz w:val="24"/>
          <w:szCs w:val="24"/>
        </w:rPr>
        <w:t>（来源：《光明日报》。记者：王胜昔 尚杰）</w:t>
      </w:r>
    </w:p>
    <w:p>
      <w:pPr>
        <w:spacing w:line="360" w:lineRule="auto"/>
        <w:rPr>
          <w:rFonts w:ascii="宋体" w:hAnsi="宋体" w:eastAsia="宋体" w:cs="Times New Roman"/>
          <w:b/>
          <w:sz w:val="30"/>
          <w:szCs w:val="30"/>
        </w:rPr>
      </w:pPr>
      <w:r>
        <w:rPr>
          <w:rFonts w:hint="eastAsia" w:ascii="宋体" w:hAnsi="宋体" w:eastAsia="宋体" w:cs="Times New Roman"/>
          <w:b/>
          <w:sz w:val="30"/>
          <w:szCs w:val="30"/>
        </w:rPr>
        <w:t>发展改革</w:t>
      </w:r>
    </w:p>
    <w:p>
      <w:pPr>
        <w:pStyle w:val="3"/>
        <w:jc w:val="center"/>
        <w:rPr>
          <w:rFonts w:ascii="宋体" w:hAnsi="宋体" w:eastAsia="宋体"/>
          <w:sz w:val="30"/>
          <w:szCs w:val="30"/>
        </w:rPr>
      </w:pPr>
      <w:bookmarkStart w:id="16" w:name="_Toc38614676"/>
      <w:r>
        <w:rPr>
          <w:rFonts w:hint="eastAsia" w:ascii="宋体" w:hAnsi="宋体" w:eastAsia="宋体"/>
          <w:sz w:val="30"/>
          <w:szCs w:val="30"/>
        </w:rPr>
        <w:t>深化本科教育教学评估监测改革</w:t>
      </w:r>
      <w:bookmarkEnd w:id="16"/>
    </w:p>
    <w:p>
      <w:pPr>
        <w:spacing w:line="360" w:lineRule="auto"/>
        <w:jc w:val="left"/>
        <w:rPr>
          <w:rFonts w:ascii="宋体" w:hAnsi="宋体" w:eastAsia="宋体"/>
          <w:sz w:val="24"/>
          <w:szCs w:val="24"/>
        </w:rPr>
      </w:pPr>
      <w:r>
        <w:rPr>
          <w:rFonts w:ascii="宋体" w:hAnsi="宋体" w:eastAsia="宋体"/>
          <w:sz w:val="28"/>
          <w:szCs w:val="28"/>
        </w:rPr>
        <w:t xml:space="preserve">    </w:t>
      </w:r>
      <w:r>
        <w:rPr>
          <w:rFonts w:ascii="宋体" w:hAnsi="宋体" w:eastAsia="宋体"/>
          <w:sz w:val="24"/>
          <w:szCs w:val="24"/>
        </w:rPr>
        <w:t>近日，中共中央办公厅、国务院办公厅印发了《关于深化新时代教育督导体制机制改革的意见》，为我们在新时代坐标上认真思考和谋划深化本科教育教学评估监测改革指明了方向，提供了行动指南和基本遵循。</w:t>
      </w:r>
    </w:p>
    <w:p>
      <w:pPr>
        <w:spacing w:line="360" w:lineRule="auto"/>
        <w:jc w:val="left"/>
        <w:rPr>
          <w:rFonts w:ascii="宋体" w:hAnsi="宋体" w:eastAsia="宋体"/>
          <w:b/>
          <w:bCs/>
          <w:sz w:val="24"/>
          <w:szCs w:val="24"/>
        </w:rPr>
      </w:pPr>
      <w:r>
        <w:rPr>
          <w:rFonts w:ascii="宋体" w:hAnsi="宋体" w:eastAsia="宋体"/>
          <w:sz w:val="24"/>
          <w:szCs w:val="24"/>
        </w:rPr>
        <w:t xml:space="preserve">    </w:t>
      </w:r>
      <w:r>
        <w:rPr>
          <w:rFonts w:ascii="宋体" w:hAnsi="宋体" w:eastAsia="宋体"/>
          <w:b/>
          <w:bCs/>
          <w:sz w:val="24"/>
          <w:szCs w:val="24"/>
        </w:rPr>
        <w:t>从战略全局把握改革指向</w:t>
      </w:r>
    </w:p>
    <w:p>
      <w:pPr>
        <w:spacing w:line="360" w:lineRule="auto"/>
        <w:jc w:val="left"/>
        <w:rPr>
          <w:rFonts w:ascii="宋体" w:hAnsi="宋体" w:eastAsia="宋体"/>
          <w:sz w:val="24"/>
          <w:szCs w:val="24"/>
        </w:rPr>
      </w:pPr>
      <w:r>
        <w:rPr>
          <w:rFonts w:ascii="宋体" w:hAnsi="宋体" w:eastAsia="宋体"/>
          <w:sz w:val="24"/>
          <w:szCs w:val="24"/>
        </w:rPr>
        <w:t xml:space="preserve">    《意见》确立的新时代“三位一体”教育督导体系，对本科教育教学评估监测从目标任务、组织实施、结果运用等方面进行系统设计，提出了明确的改革指向。</w:t>
      </w:r>
    </w:p>
    <w:p>
      <w:pPr>
        <w:spacing w:line="360" w:lineRule="auto"/>
        <w:jc w:val="left"/>
        <w:rPr>
          <w:rFonts w:ascii="宋体" w:hAnsi="宋体" w:eastAsia="宋体"/>
          <w:sz w:val="24"/>
          <w:szCs w:val="24"/>
        </w:rPr>
      </w:pPr>
      <w:r>
        <w:rPr>
          <w:rFonts w:ascii="宋体" w:hAnsi="宋体" w:eastAsia="宋体"/>
          <w:sz w:val="24"/>
          <w:szCs w:val="24"/>
        </w:rPr>
        <w:t xml:space="preserve">    落实立德树人根本任务，聚焦本科教育教学质量。《意见》明确提出，新时代教育督导改革应以全面落实党的教育方针、全面提高教育质量、“五育并举”培养时代新人为根本指向。本科教育教学评估监测要在目标任务上下功夫，引导高校实现内涵发展、特色发展、创新发展。</w:t>
      </w:r>
    </w:p>
    <w:p>
      <w:pPr>
        <w:spacing w:line="360" w:lineRule="auto"/>
        <w:jc w:val="left"/>
        <w:rPr>
          <w:rFonts w:ascii="宋体" w:hAnsi="宋体" w:eastAsia="宋体"/>
          <w:sz w:val="24"/>
          <w:szCs w:val="24"/>
        </w:rPr>
      </w:pPr>
      <w:r>
        <w:rPr>
          <w:rFonts w:ascii="宋体" w:hAnsi="宋体" w:eastAsia="宋体"/>
          <w:sz w:val="24"/>
          <w:szCs w:val="24"/>
        </w:rPr>
        <w:t xml:space="preserve">    优化评估监测运行机制，改进评估监测方式方法。《意见》明确要求，新时代教育督导改革要积极探索建立各级教育督导机构通过政府购买服务方式、委托第三方评估监测机构和社会组织开展教育评估监测的工作机制。本科教育教学评估监测在组织实施上，要积极构建管办评分离、部省行协同、社会各界广泛参与的评估监测工作机制，改进评估监测方式方法，优化评估监测工作流程，提高评估监测工作效率。</w:t>
      </w:r>
    </w:p>
    <w:p>
      <w:pPr>
        <w:spacing w:line="360" w:lineRule="auto"/>
        <w:jc w:val="left"/>
        <w:rPr>
          <w:rFonts w:ascii="宋体" w:hAnsi="宋体" w:eastAsia="宋体"/>
          <w:sz w:val="24"/>
          <w:szCs w:val="24"/>
        </w:rPr>
      </w:pPr>
      <w:r>
        <w:rPr>
          <w:rFonts w:ascii="宋体" w:hAnsi="宋体" w:eastAsia="宋体"/>
          <w:sz w:val="24"/>
          <w:szCs w:val="24"/>
        </w:rPr>
        <w:t xml:space="preserve">    强化督导整改“回头看”，促进评估监测工作“长牙齿”。《意见》明确强调，新时代教育督导改革要强化教育督导结果运用和问责机制，牢固树立“问题必整改，整改必到位”的责任意识，切实维护教育督导的权威性和严肃性。本科教育教学评估监测要在结果运用上下功夫，加强评估监测工作事前、事中、事后的制度衔接和系统设计，强化督导整改“回头看”，用足用好整改问责机制，真正使评估监测工作“长牙齿”。</w:t>
      </w:r>
    </w:p>
    <w:p>
      <w:pPr>
        <w:spacing w:line="360" w:lineRule="auto"/>
        <w:jc w:val="left"/>
        <w:rPr>
          <w:rFonts w:ascii="宋体" w:hAnsi="宋体" w:eastAsia="宋体"/>
          <w:b/>
          <w:bCs/>
          <w:sz w:val="24"/>
          <w:szCs w:val="24"/>
        </w:rPr>
      </w:pPr>
      <w:r>
        <w:rPr>
          <w:rFonts w:ascii="宋体" w:hAnsi="宋体" w:eastAsia="宋体"/>
          <w:sz w:val="24"/>
          <w:szCs w:val="24"/>
        </w:rPr>
        <w:t xml:space="preserve">    </w:t>
      </w:r>
      <w:r>
        <w:rPr>
          <w:rFonts w:ascii="宋体" w:hAnsi="宋体" w:eastAsia="宋体"/>
          <w:b/>
          <w:bCs/>
          <w:sz w:val="24"/>
          <w:szCs w:val="24"/>
        </w:rPr>
        <w:t>从体制机制上深化改革</w:t>
      </w:r>
    </w:p>
    <w:p>
      <w:pPr>
        <w:spacing w:line="360" w:lineRule="auto"/>
        <w:jc w:val="left"/>
        <w:rPr>
          <w:rFonts w:ascii="宋体" w:hAnsi="宋体" w:eastAsia="宋体"/>
          <w:sz w:val="24"/>
          <w:szCs w:val="24"/>
        </w:rPr>
      </w:pPr>
      <w:r>
        <w:rPr>
          <w:rFonts w:ascii="宋体" w:hAnsi="宋体" w:eastAsia="宋体"/>
          <w:sz w:val="24"/>
          <w:szCs w:val="24"/>
        </w:rPr>
        <w:t xml:space="preserve">    深化新时代本科教育教学评估监测改革，要以《意见》为指南，以立德树人为统领，紧扣评估监测热点难点问题，从体制机制上系统发力。</w:t>
      </w:r>
    </w:p>
    <w:p>
      <w:pPr>
        <w:spacing w:line="360" w:lineRule="auto"/>
        <w:jc w:val="left"/>
        <w:rPr>
          <w:rFonts w:ascii="宋体" w:hAnsi="宋体" w:eastAsia="宋体"/>
          <w:sz w:val="24"/>
          <w:szCs w:val="24"/>
        </w:rPr>
      </w:pPr>
      <w:r>
        <w:rPr>
          <w:rFonts w:ascii="宋体" w:hAnsi="宋体" w:eastAsia="宋体"/>
          <w:sz w:val="24"/>
          <w:szCs w:val="24"/>
        </w:rPr>
        <w:t xml:space="preserve">    保障落实立德树人根本任务落地生根。深化本科教育教学评估监测改革，须履职尽责落实好《意见》提出的“紧紧围绕落实立德树人根本任务，重点督导学校落实立德树人情况”任务要求：一要坚持问题导向，做到对症下药；二要用立德树人统领新时代评估监测工作，真正让立德树人基础强起来、指标硬起来、制度实起来。</w:t>
      </w:r>
    </w:p>
    <w:p>
      <w:pPr>
        <w:spacing w:line="360" w:lineRule="auto"/>
        <w:jc w:val="left"/>
        <w:rPr>
          <w:rFonts w:ascii="宋体" w:hAnsi="宋体" w:eastAsia="宋体"/>
          <w:sz w:val="24"/>
          <w:szCs w:val="24"/>
        </w:rPr>
      </w:pPr>
      <w:r>
        <w:rPr>
          <w:rFonts w:ascii="宋体" w:hAnsi="宋体" w:eastAsia="宋体"/>
          <w:sz w:val="24"/>
          <w:szCs w:val="24"/>
        </w:rPr>
        <w:t xml:space="preserve">    完善“五位一体”本科教育教学评估监测体系。深化本科教育教学评估监测改革，须履职尽责落实好《意见》提出的“积极探索建立各级教育督导机构通过政府购买服务方式、委托第三方评估监测机构和社会组织开展教育评估监测的工作机制”“指导学校建立自我督导体系，优化学校内部治理”任务要求，推进评估监测制度体系、工作体系和实践体系建设。</w:t>
      </w:r>
    </w:p>
    <w:p>
      <w:pPr>
        <w:spacing w:line="360" w:lineRule="auto"/>
        <w:jc w:val="left"/>
        <w:rPr>
          <w:rFonts w:ascii="宋体" w:hAnsi="宋体" w:eastAsia="宋体"/>
          <w:sz w:val="24"/>
          <w:szCs w:val="24"/>
        </w:rPr>
      </w:pPr>
      <w:r>
        <w:rPr>
          <w:rFonts w:ascii="宋体" w:hAnsi="宋体" w:eastAsia="宋体"/>
          <w:sz w:val="24"/>
          <w:szCs w:val="24"/>
        </w:rPr>
        <w:t xml:space="preserve">    实施分类评估监测，促进高校内涵提升特色发展。深化本科教育教学评估监测改革，须履职尽责落实好《意见》提出的“完善评估监测指标体系”“引导学校办出特色、办出水平，促进学生德智体美劳全面发展”任务要求：一要分类施策，适应普及化阶段高等教育的多样性、多元化、个性化需求；二要研制不同类型评估监测指标体系，引导高校内涵提升、实现特色发展。</w:t>
      </w:r>
    </w:p>
    <w:p>
      <w:pPr>
        <w:spacing w:line="360" w:lineRule="auto"/>
        <w:jc w:val="left"/>
        <w:rPr>
          <w:rFonts w:ascii="宋体" w:hAnsi="宋体" w:eastAsia="宋体"/>
          <w:sz w:val="24"/>
          <w:szCs w:val="24"/>
        </w:rPr>
      </w:pPr>
      <w:r>
        <w:rPr>
          <w:rFonts w:ascii="宋体" w:hAnsi="宋体" w:eastAsia="宋体"/>
          <w:sz w:val="24"/>
          <w:szCs w:val="24"/>
        </w:rPr>
        <w:t xml:space="preserve">    强化评估监测效能，助推本科教育教学改革创新。深化本科教育教学评估监测改革，须履职尽责按照《意见》要求在管理体制、运行机制、问责机制等方面使出真招实招，促进督导“长牙齿”：一要让评估监测结果“用起来”；二要让督导整改问责“实起来”；三要让教学改革“动起来”。</w:t>
      </w:r>
    </w:p>
    <w:p>
      <w:pPr>
        <w:spacing w:line="360" w:lineRule="auto"/>
        <w:jc w:val="left"/>
        <w:rPr>
          <w:rFonts w:ascii="宋体" w:hAnsi="宋体" w:eastAsia="宋体"/>
          <w:b/>
          <w:bCs/>
          <w:sz w:val="24"/>
          <w:szCs w:val="24"/>
        </w:rPr>
      </w:pPr>
      <w:r>
        <w:rPr>
          <w:rFonts w:ascii="宋体" w:hAnsi="宋体" w:eastAsia="宋体"/>
          <w:sz w:val="24"/>
          <w:szCs w:val="24"/>
        </w:rPr>
        <w:t xml:space="preserve">    </w:t>
      </w:r>
      <w:r>
        <w:rPr>
          <w:rFonts w:ascii="宋体" w:hAnsi="宋体" w:eastAsia="宋体"/>
          <w:b/>
          <w:bCs/>
          <w:sz w:val="24"/>
          <w:szCs w:val="24"/>
        </w:rPr>
        <w:t>从条件保障上支撑改革</w:t>
      </w:r>
    </w:p>
    <w:p>
      <w:pPr>
        <w:spacing w:line="360" w:lineRule="auto"/>
        <w:jc w:val="left"/>
        <w:rPr>
          <w:rFonts w:ascii="宋体" w:hAnsi="宋体" w:eastAsia="宋体"/>
          <w:sz w:val="24"/>
          <w:szCs w:val="24"/>
        </w:rPr>
      </w:pPr>
      <w:r>
        <w:rPr>
          <w:rFonts w:ascii="宋体" w:hAnsi="宋体" w:eastAsia="宋体"/>
          <w:sz w:val="24"/>
          <w:szCs w:val="24"/>
        </w:rPr>
        <w:t xml:space="preserve">    深化新时代本科教育教学评估监测改革，要在专家队伍、运行机制、信息技术、配套文件等基础能力建设上下真功夫，提供坚实条件保障。</w:t>
      </w:r>
    </w:p>
    <w:p>
      <w:pPr>
        <w:spacing w:line="360" w:lineRule="auto"/>
        <w:jc w:val="left"/>
        <w:rPr>
          <w:rFonts w:ascii="宋体" w:hAnsi="宋体" w:eastAsia="宋体"/>
          <w:sz w:val="24"/>
          <w:szCs w:val="24"/>
        </w:rPr>
      </w:pPr>
      <w:r>
        <w:rPr>
          <w:rFonts w:ascii="宋体" w:hAnsi="宋体" w:eastAsia="宋体"/>
          <w:sz w:val="24"/>
          <w:szCs w:val="24"/>
        </w:rPr>
        <w:t xml:space="preserve">    落实《意见》“提高督学专业化水平”要求，关键是要让专业的人干专业的事情，提升本科教育教学评估监测专业化水平，要在评估监测专家队伍建设上下真功夫，打造高素质专业化的评估专家队伍，严把队伍管理各个关口，建立专家评价与动态调整制度。</w:t>
      </w:r>
    </w:p>
    <w:p>
      <w:pPr>
        <w:spacing w:line="360" w:lineRule="auto"/>
        <w:jc w:val="left"/>
        <w:rPr>
          <w:rFonts w:ascii="宋体" w:hAnsi="宋体" w:eastAsia="宋体"/>
          <w:sz w:val="24"/>
          <w:szCs w:val="24"/>
        </w:rPr>
      </w:pPr>
      <w:r>
        <w:rPr>
          <w:rFonts w:ascii="宋体" w:hAnsi="宋体" w:eastAsia="宋体"/>
          <w:sz w:val="24"/>
          <w:szCs w:val="24"/>
        </w:rPr>
        <w:t xml:space="preserve">    落实《意见》“建立教育督导部门统一归口管理、多方参与的教育评估监测机制”要求，关键要在建立管办评分离、部省行协同、社会各界广泛参与的评估监测协同机制上下真功夫：一是发挥评估中心作为评估监测国家级专门机构的统领作用；二是建立部省行协同工作机制和沟通联络机制；三是建立评估专家组织议事机制和咨询指导机制；四是建立行业、企业深度参与评估监测合作机制。</w:t>
      </w:r>
    </w:p>
    <w:p>
      <w:pPr>
        <w:spacing w:line="360" w:lineRule="auto"/>
        <w:jc w:val="left"/>
        <w:rPr>
          <w:rFonts w:ascii="宋体" w:hAnsi="宋体" w:eastAsia="宋体"/>
          <w:sz w:val="24"/>
          <w:szCs w:val="24"/>
        </w:rPr>
      </w:pPr>
      <w:r>
        <w:rPr>
          <w:rFonts w:ascii="宋体" w:hAnsi="宋体" w:eastAsia="宋体"/>
          <w:sz w:val="24"/>
          <w:szCs w:val="24"/>
        </w:rPr>
        <w:t xml:space="preserve">    落实《意见》“大力强化信息技术手段应用，充分利用互联网、大数据、云计算等开展督导评估监测工作”要求，关键要在推进信息技术与评估监测工作融合上下真功夫：一是完善高等教育质量监测国家数据平台建设；二是建设全国统一、分级使用、开放共享的评估认证管理信息平台；三是逐步完善开发优质在线评估资源，提升培训受益面和效果。</w:t>
      </w:r>
    </w:p>
    <w:p>
      <w:pPr>
        <w:spacing w:line="360" w:lineRule="auto"/>
        <w:jc w:val="left"/>
        <w:rPr>
          <w:rFonts w:ascii="楷体_GB2312" w:hAnsi="宋体" w:eastAsia="楷体_GB2312" w:cs="Times New Roman"/>
          <w:sz w:val="24"/>
          <w:szCs w:val="24"/>
        </w:rPr>
      </w:pPr>
      <w:r>
        <w:rPr>
          <w:rFonts w:ascii="宋体" w:hAnsi="宋体" w:eastAsia="宋体"/>
          <w:sz w:val="24"/>
          <w:szCs w:val="24"/>
        </w:rPr>
        <w:t xml:space="preserve">    落实《意见》“加强教育督导法治建设，强化程序意识，细化工作规范，完善督导流程，使教育督导各个方面、各个环节的工作都有章可循”要求，关键要在建设统一规范的评估监测文件体系上下真功夫，完善管理性、程序性和指导性文件。</w:t>
      </w:r>
      <w:r>
        <w:rPr>
          <w:rFonts w:hint="eastAsia" w:ascii="楷体_GB2312" w:hAnsi="宋体" w:eastAsia="楷体_GB2312" w:cs="Times New Roman"/>
          <w:sz w:val="24"/>
          <w:szCs w:val="24"/>
        </w:rPr>
        <w:t>（来源：《中国教育报》。作者：范唯 教育部高等教育教学评估中心主任）</w:t>
      </w:r>
    </w:p>
    <w:p>
      <w:pPr>
        <w:spacing w:line="360" w:lineRule="auto"/>
        <w:rPr>
          <w:rFonts w:ascii="宋体" w:hAnsi="宋体" w:eastAsia="宋体" w:cs="Times New Roman"/>
          <w:b/>
          <w:sz w:val="30"/>
          <w:szCs w:val="30"/>
        </w:rPr>
      </w:pPr>
      <w:r>
        <w:rPr>
          <w:rFonts w:hint="eastAsia" w:ascii="宋体" w:hAnsi="宋体" w:eastAsia="宋体" w:cs="Times New Roman"/>
          <w:b/>
          <w:sz w:val="30"/>
          <w:szCs w:val="30"/>
        </w:rPr>
        <w:t>高教视点</w:t>
      </w:r>
    </w:p>
    <w:p>
      <w:pPr>
        <w:pStyle w:val="3"/>
        <w:jc w:val="center"/>
        <w:rPr>
          <w:rFonts w:ascii="宋体" w:hAnsi="宋体" w:eastAsia="宋体"/>
          <w:sz w:val="30"/>
          <w:szCs w:val="30"/>
        </w:rPr>
      </w:pPr>
      <w:bookmarkStart w:id="17" w:name="_Toc38614677"/>
      <w:r>
        <w:rPr>
          <w:rFonts w:hint="eastAsia" w:ascii="宋体" w:hAnsi="宋体" w:eastAsia="宋体"/>
          <w:sz w:val="30"/>
          <w:szCs w:val="30"/>
        </w:rPr>
        <w:t>从效率与公平视角看高教资源区域布局</w:t>
      </w:r>
      <w:bookmarkEnd w:id="17"/>
    </w:p>
    <w:p>
      <w:pPr>
        <w:spacing w:line="360" w:lineRule="auto"/>
        <w:ind w:firstLine="480" w:firstLineChars="200"/>
        <w:jc w:val="left"/>
        <w:rPr>
          <w:rFonts w:ascii="宋体" w:hAnsi="宋体" w:eastAsia="宋体"/>
          <w:sz w:val="24"/>
          <w:szCs w:val="24"/>
        </w:rPr>
      </w:pPr>
      <w:r>
        <w:rPr>
          <w:rFonts w:ascii="宋体" w:hAnsi="宋体" w:eastAsia="宋体"/>
          <w:sz w:val="24"/>
          <w:szCs w:val="24"/>
        </w:rPr>
        <w:t>高等教育不同于基础教育和义务教育，高等教育区域布局的基本特征是非均衡性和集聚发展，而不是平衡或者均衡发展。近期，清华大学的谢维和教授和史静寰教授等共同推出的力作《效率与公平——高等教育资源区域分布与协调发展研究》，从效率与公平的视角分析了高等教育资源布局问题，对于更为全面地理解我国现阶段高等教育的发展特征，更为稳妥有效地处理高等教育的区域协调发展问题，具有重要的理论意义与实践价值。</w:t>
      </w:r>
    </w:p>
    <w:p>
      <w:pPr>
        <w:spacing w:line="360" w:lineRule="auto"/>
        <w:jc w:val="left"/>
        <w:rPr>
          <w:rFonts w:ascii="宋体" w:hAnsi="宋体" w:eastAsia="宋体"/>
          <w:b/>
          <w:bCs/>
          <w:sz w:val="24"/>
          <w:szCs w:val="24"/>
        </w:rPr>
      </w:pPr>
      <w:r>
        <w:rPr>
          <w:rFonts w:ascii="宋体" w:hAnsi="宋体" w:eastAsia="宋体"/>
          <w:sz w:val="24"/>
          <w:szCs w:val="24"/>
        </w:rPr>
        <w:t xml:space="preserve">    </w:t>
      </w:r>
      <w:r>
        <w:rPr>
          <w:rFonts w:ascii="宋体" w:hAnsi="宋体" w:eastAsia="宋体"/>
          <w:b/>
          <w:bCs/>
          <w:sz w:val="24"/>
          <w:szCs w:val="24"/>
        </w:rPr>
        <w:t>多元视角感知高等教育区域资源布局</w:t>
      </w:r>
    </w:p>
    <w:p>
      <w:pPr>
        <w:spacing w:line="360" w:lineRule="auto"/>
        <w:jc w:val="left"/>
        <w:rPr>
          <w:rFonts w:ascii="宋体" w:hAnsi="宋体" w:eastAsia="宋体"/>
          <w:sz w:val="24"/>
          <w:szCs w:val="24"/>
        </w:rPr>
      </w:pPr>
      <w:r>
        <w:rPr>
          <w:rFonts w:ascii="宋体" w:hAnsi="宋体" w:eastAsia="宋体"/>
          <w:sz w:val="24"/>
          <w:szCs w:val="24"/>
        </w:rPr>
        <w:t xml:space="preserve">    高等教育的区域布局与经济社会发展水平密切相关，在某种程度上讲，是区域间的经济发展水平决定着高等教育的布局结构，由此高等教育的区域布局必须追求效率原则。同时，高等教育又是与每个个体发展紧密联系的教育事业，特别是在高等教育大众化普及化的背景下，接受优质高等教育机会成为衡量一个国家或者区域高教布局是否合理的重要依据，由此高教布局又必须追求公平原则。</w:t>
      </w:r>
    </w:p>
    <w:p>
      <w:pPr>
        <w:spacing w:line="360" w:lineRule="auto"/>
        <w:jc w:val="left"/>
        <w:rPr>
          <w:rFonts w:ascii="宋体" w:hAnsi="宋体" w:eastAsia="宋体"/>
          <w:sz w:val="24"/>
          <w:szCs w:val="24"/>
        </w:rPr>
      </w:pPr>
      <w:r>
        <w:rPr>
          <w:rFonts w:ascii="宋体" w:hAnsi="宋体" w:eastAsia="宋体"/>
          <w:sz w:val="24"/>
          <w:szCs w:val="24"/>
        </w:rPr>
        <w:t xml:space="preserve">    从多元研究视角和方法对区域高等教育发展的现状、经验、问题、成因及路向等进行充分归纳提炼，有助于总结区域高等教育发展的内在规律。书中，学者们探索了区域高等教育发展的解释框架和演进逻辑，丰富和完善既有的区域高等教育发展理论，为我国区域高等教育协调发展以及统筹推进教育现代化提供了理论参考。对于高等教育理论与政策的研究者、制定者和实践者具有深刻的启发价值。</w:t>
      </w:r>
    </w:p>
    <w:p>
      <w:pPr>
        <w:spacing w:line="360" w:lineRule="auto"/>
        <w:jc w:val="left"/>
        <w:rPr>
          <w:rFonts w:ascii="宋体" w:hAnsi="宋体" w:eastAsia="宋体"/>
          <w:sz w:val="24"/>
          <w:szCs w:val="24"/>
        </w:rPr>
      </w:pPr>
      <w:r>
        <w:rPr>
          <w:rFonts w:ascii="宋体" w:hAnsi="宋体" w:eastAsia="宋体"/>
          <w:sz w:val="24"/>
          <w:szCs w:val="24"/>
        </w:rPr>
        <w:t xml:space="preserve">    我们认为，运用计量史学等方法，从历史视野分析高等教育资源布局的动态发展历程，可以有效揭示高等教育资源的区域布局是高等教育系统内部自主成长与外部力量干预共同作用的结果。谢维和教授等从微观的学生、学科、远程教育、财政、办学绩效等多维度分析了高教资源区域布局的情况，指出了区域间存在的差距及其影响因素，并提出了相应的对策；从宏观的高等教育体制改革、院校对口支援、国际引智等视角分析了高等教育资源与区域间的互动关系、空间流动和优化问题，展现了影响高等教育资源流动和优化的巨大政策空间与前景。</w:t>
      </w:r>
    </w:p>
    <w:p>
      <w:pPr>
        <w:spacing w:line="360" w:lineRule="auto"/>
        <w:jc w:val="left"/>
        <w:rPr>
          <w:rFonts w:ascii="宋体" w:hAnsi="宋体" w:eastAsia="宋体"/>
          <w:b/>
          <w:bCs/>
          <w:sz w:val="24"/>
          <w:szCs w:val="24"/>
        </w:rPr>
      </w:pPr>
      <w:r>
        <w:rPr>
          <w:rFonts w:ascii="宋体" w:hAnsi="宋体" w:eastAsia="宋体"/>
          <w:sz w:val="24"/>
          <w:szCs w:val="24"/>
        </w:rPr>
        <w:t xml:space="preserve">    </w:t>
      </w:r>
      <w:r>
        <w:rPr>
          <w:rFonts w:ascii="宋体" w:hAnsi="宋体" w:eastAsia="宋体"/>
          <w:b/>
          <w:bCs/>
          <w:sz w:val="24"/>
          <w:szCs w:val="24"/>
        </w:rPr>
        <w:t>深刻认识高等教育区域协调发展的意义</w:t>
      </w:r>
    </w:p>
    <w:p>
      <w:pPr>
        <w:spacing w:line="360" w:lineRule="auto"/>
        <w:jc w:val="left"/>
        <w:rPr>
          <w:rFonts w:ascii="宋体" w:hAnsi="宋体" w:eastAsia="宋体"/>
          <w:sz w:val="24"/>
          <w:szCs w:val="24"/>
        </w:rPr>
      </w:pPr>
      <w:r>
        <w:rPr>
          <w:rFonts w:ascii="宋体" w:hAnsi="宋体" w:eastAsia="宋体"/>
          <w:sz w:val="24"/>
          <w:szCs w:val="24"/>
        </w:rPr>
        <w:t xml:space="preserve">    《中国教育现代化2035》明确把“统筹推进”作为推进教育现代化的基本原则之一，将“总体规划，分区推进”作为实现教育现代化的首要实施路径。高等教育区域发展要构建优化区域高等教育的政策支持体系，建立更加有效的区域高等教育协调发展新机制，提高高等教育对区域发展的支撑和服务能力，实现高等教育与区域经济社会的协调发展。</w:t>
      </w:r>
    </w:p>
    <w:p>
      <w:pPr>
        <w:spacing w:line="360" w:lineRule="auto"/>
        <w:jc w:val="left"/>
        <w:rPr>
          <w:rFonts w:ascii="宋体" w:hAnsi="宋体" w:eastAsia="宋体"/>
          <w:sz w:val="24"/>
          <w:szCs w:val="24"/>
        </w:rPr>
      </w:pPr>
      <w:r>
        <w:rPr>
          <w:rFonts w:ascii="宋体" w:hAnsi="宋体" w:eastAsia="宋体"/>
          <w:sz w:val="24"/>
          <w:szCs w:val="24"/>
        </w:rPr>
        <w:t xml:space="preserve">    高等教育布局需要从省域到区域布局转变，实现区域联盟发展。我国省份划分起始于元朝，划分的主要依据是政治考量而非经济原因。在现代经济社会高质量发展和国家主体功能区建设的背景与需求下，需要建立新的高等教育布局调整政策，从传统的省域布局转变为区域布局。突破以行政区界定教育发展，改变完全按行政区制定区域高等教育政策的方法。</w:t>
      </w:r>
    </w:p>
    <w:p>
      <w:pPr>
        <w:spacing w:line="360" w:lineRule="auto"/>
        <w:jc w:val="left"/>
        <w:rPr>
          <w:rFonts w:ascii="宋体" w:hAnsi="宋体" w:eastAsia="宋体"/>
          <w:sz w:val="24"/>
          <w:szCs w:val="24"/>
        </w:rPr>
      </w:pPr>
      <w:r>
        <w:rPr>
          <w:rFonts w:ascii="宋体" w:hAnsi="宋体" w:eastAsia="宋体"/>
          <w:sz w:val="24"/>
          <w:szCs w:val="24"/>
        </w:rPr>
        <w:t xml:space="preserve">    我国不同区域的资源环境承载能力不同，高等教育发展的内涵和要求也应该不同，对不同区域高等教育发展的内容和重点也应不同。只有采取突破现有体制障碍和政策约束的新举措，制定更有针对性的、差别化的区域高等教育发展政策，才能在区域发展的整体培育发展过程中，优化资源配置，推动协同发展。</w:t>
      </w:r>
    </w:p>
    <w:p>
      <w:pPr>
        <w:spacing w:line="360" w:lineRule="auto"/>
        <w:jc w:val="left"/>
        <w:rPr>
          <w:rFonts w:ascii="宋体" w:hAnsi="宋体" w:eastAsia="宋体"/>
          <w:sz w:val="24"/>
          <w:szCs w:val="24"/>
        </w:rPr>
      </w:pPr>
      <w:r>
        <w:rPr>
          <w:rFonts w:ascii="宋体" w:hAnsi="宋体" w:eastAsia="宋体"/>
          <w:sz w:val="24"/>
          <w:szCs w:val="24"/>
        </w:rPr>
        <w:t xml:space="preserve">    健全区域高等教育合作机制，鼓励和支持各地区开展多种形式的区域教育协作和招生、院校合作，形成以东带西、东中西共同发展的格局。健全区域高等教育互助机制，发达地区要采取对口支援、高校招生指标倾斜、教师挂职等方式帮扶欠发达地区的高等教育发展。健全区域高等教育扶持机制，加大国家对欠发达地区的支持力度。健全区域高等教育发展的竞争机制，比如采用竞争性的财政分配机制，形成“倒逼机制”，有利于打破地方与部门传统的路径依赖和思维定式，从“要我发展”向“我要发展”转变。</w:t>
      </w:r>
    </w:p>
    <w:p>
      <w:pPr>
        <w:spacing w:line="360" w:lineRule="auto"/>
        <w:jc w:val="left"/>
        <w:rPr>
          <w:rFonts w:ascii="宋体" w:hAnsi="宋体" w:eastAsia="宋体"/>
          <w:b/>
          <w:bCs/>
          <w:sz w:val="24"/>
          <w:szCs w:val="24"/>
        </w:rPr>
      </w:pPr>
      <w:r>
        <w:rPr>
          <w:rFonts w:ascii="宋体" w:hAnsi="宋体" w:eastAsia="宋体"/>
          <w:sz w:val="24"/>
          <w:szCs w:val="24"/>
        </w:rPr>
        <w:t xml:space="preserve">    </w:t>
      </w:r>
      <w:r>
        <w:rPr>
          <w:rFonts w:ascii="宋体" w:hAnsi="宋体" w:eastAsia="宋体"/>
          <w:b/>
          <w:bCs/>
          <w:sz w:val="24"/>
          <w:szCs w:val="24"/>
        </w:rPr>
        <w:t>区域高等教育的关键是院校发展</w:t>
      </w:r>
    </w:p>
    <w:p>
      <w:pPr>
        <w:spacing w:line="360" w:lineRule="auto"/>
        <w:jc w:val="left"/>
        <w:rPr>
          <w:rFonts w:ascii="宋体" w:hAnsi="宋体" w:eastAsia="宋体"/>
          <w:sz w:val="24"/>
          <w:szCs w:val="24"/>
        </w:rPr>
      </w:pPr>
      <w:r>
        <w:rPr>
          <w:rFonts w:ascii="宋体" w:hAnsi="宋体" w:eastAsia="宋体"/>
          <w:sz w:val="24"/>
          <w:szCs w:val="24"/>
        </w:rPr>
        <w:t xml:space="preserve">    高等教育不仅具有基础性和适应性，更具有先导性和全局性，高等教育要自觉为经济社会发展尤其是中西部区域发展服务。要具有超前规划布局的理念，使高等教育起到引领作用，不只是被动地等待经济布局。全面振兴中西部高等教育的背后是高等院校、学科、专业同经济、社会、人口、文化等区域变量在数量、结构与质量方面的匹配过程，是我国现阶段高等教育发展战略的重要组成部分。</w:t>
      </w:r>
    </w:p>
    <w:p>
      <w:pPr>
        <w:spacing w:line="360" w:lineRule="auto"/>
        <w:jc w:val="left"/>
        <w:rPr>
          <w:rFonts w:ascii="楷体_GB2312" w:hAnsi="宋体" w:eastAsia="楷体_GB2312" w:cs="Times New Roman"/>
          <w:sz w:val="24"/>
          <w:szCs w:val="24"/>
        </w:rPr>
      </w:pPr>
      <w:r>
        <w:rPr>
          <w:rFonts w:ascii="宋体" w:hAnsi="宋体" w:eastAsia="宋体"/>
          <w:sz w:val="24"/>
          <w:szCs w:val="24"/>
        </w:rPr>
        <w:t xml:space="preserve">    目前，区域和高校优势特色专业集中度不够，布点多而散，集群优势不显著。部分地区对区域内高等教育发展导向不明确，部分高校办学定位不清晰，导致高校学科专业设置和人才培养类型不清晰，“平原</w:t>
      </w:r>
      <w:r>
        <w:rPr>
          <w:rFonts w:hint="eastAsia" w:ascii="宋体" w:hAnsi="宋体" w:eastAsia="宋体"/>
          <w:sz w:val="24"/>
          <w:szCs w:val="24"/>
        </w:rPr>
        <w:t>”</w:t>
      </w:r>
      <w:r>
        <w:rPr>
          <w:rFonts w:ascii="宋体" w:hAnsi="宋体" w:eastAsia="宋体"/>
          <w:sz w:val="24"/>
          <w:szCs w:val="24"/>
        </w:rPr>
        <w:t>多（专业布点多）、“高峰”少（优势特色学科专业少）。现在还存在学科专业设置调整、招生培养没有很好地与经济社会发展需求、就业创业状况深度对接、良性互动的问题，比较普遍存在着培养与需求、教学与科研、理论与实践、校内资源与社会资源结合得不够紧密的问题。要着力推动建立主动适应社会需求、优化调整学科专业结构的长效机制。以高校为主体</w:t>
      </w:r>
      <w:r>
        <w:rPr>
          <w:rFonts w:hint="eastAsia" w:ascii="宋体" w:hAnsi="宋体" w:eastAsia="宋体"/>
          <w:sz w:val="24"/>
          <w:szCs w:val="24"/>
        </w:rPr>
        <w:t>，建立与区域经济社会发展和市场经济相适应的学科专业和人才培养类型调整机制，切实提升服务区域发展能力。</w:t>
      </w:r>
      <w:r>
        <w:rPr>
          <w:rFonts w:ascii="楷体_GB2312" w:hAnsi="宋体" w:eastAsia="楷体_GB2312" w:cs="Times New Roman"/>
          <w:sz w:val="24"/>
          <w:szCs w:val="24"/>
        </w:rPr>
        <w:t>（</w:t>
      </w:r>
      <w:r>
        <w:rPr>
          <w:rFonts w:hint="eastAsia" w:ascii="楷体_GB2312" w:hAnsi="宋体" w:eastAsia="楷体_GB2312" w:cs="Times New Roman"/>
          <w:sz w:val="24"/>
          <w:szCs w:val="24"/>
        </w:rPr>
        <w:t>来源：中国社会科学网。</w:t>
      </w:r>
      <w:r>
        <w:rPr>
          <w:rFonts w:ascii="楷体_GB2312" w:hAnsi="宋体" w:eastAsia="楷体_GB2312" w:cs="Times New Roman"/>
          <w:sz w:val="24"/>
          <w:szCs w:val="24"/>
        </w:rPr>
        <w:t>作者</w:t>
      </w:r>
      <w:r>
        <w:rPr>
          <w:rFonts w:hint="eastAsia" w:ascii="楷体_GB2312" w:hAnsi="宋体" w:eastAsia="楷体_GB2312" w:cs="Times New Roman"/>
          <w:sz w:val="24"/>
          <w:szCs w:val="24"/>
        </w:rPr>
        <w:t xml:space="preserve">：李立国 </w:t>
      </w:r>
      <w:r>
        <w:rPr>
          <w:rFonts w:ascii="楷体_GB2312" w:hAnsi="宋体" w:eastAsia="楷体_GB2312" w:cs="Times New Roman"/>
          <w:sz w:val="24"/>
          <w:szCs w:val="24"/>
        </w:rPr>
        <w:t>中国人民大学教育学院教授、副院长）</w:t>
      </w:r>
    </w:p>
    <w:p>
      <w:pPr>
        <w:rPr>
          <w:rFonts w:ascii="宋体" w:hAnsi="宋体" w:eastAsia="宋体"/>
          <w:sz w:val="28"/>
          <w:szCs w:val="28"/>
        </w:rPr>
      </w:pP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8398190"/>
      <w:docPartObj>
        <w:docPartGallery w:val="AutoText"/>
      </w:docPartObj>
    </w:sdtPr>
    <w:sdtContent>
      <w:p>
        <w:pPr>
          <w:pStyle w:val="6"/>
          <w:jc w:val="center"/>
        </w:pPr>
        <w:r>
          <w:fldChar w:fldCharType="begin"/>
        </w:r>
        <w:r>
          <w:instrText xml:space="preserve">PAGE   \* MERGEFORMAT</w:instrText>
        </w:r>
        <w:r>
          <w:fldChar w:fldCharType="separate"/>
        </w:r>
        <w:r>
          <w:rPr>
            <w:lang w:val="zh-CN"/>
          </w:rPr>
          <w:t>32</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5D3D"/>
    <w:rsid w:val="0001671E"/>
    <w:rsid w:val="000308DE"/>
    <w:rsid w:val="0005026E"/>
    <w:rsid w:val="00054731"/>
    <w:rsid w:val="00076672"/>
    <w:rsid w:val="000B2FDD"/>
    <w:rsid w:val="000E077A"/>
    <w:rsid w:val="001313C1"/>
    <w:rsid w:val="00131488"/>
    <w:rsid w:val="00152819"/>
    <w:rsid w:val="001542D3"/>
    <w:rsid w:val="00194939"/>
    <w:rsid w:val="001B5A23"/>
    <w:rsid w:val="001D4C0A"/>
    <w:rsid w:val="0021134D"/>
    <w:rsid w:val="002176A8"/>
    <w:rsid w:val="00220A77"/>
    <w:rsid w:val="0023415C"/>
    <w:rsid w:val="00284D18"/>
    <w:rsid w:val="0029376A"/>
    <w:rsid w:val="002A0C9F"/>
    <w:rsid w:val="002A7E62"/>
    <w:rsid w:val="002B634B"/>
    <w:rsid w:val="002C34C7"/>
    <w:rsid w:val="002F0B68"/>
    <w:rsid w:val="00313E05"/>
    <w:rsid w:val="00327502"/>
    <w:rsid w:val="00345D07"/>
    <w:rsid w:val="00350708"/>
    <w:rsid w:val="00372A9E"/>
    <w:rsid w:val="003733AF"/>
    <w:rsid w:val="003857EB"/>
    <w:rsid w:val="003E398D"/>
    <w:rsid w:val="003F2C03"/>
    <w:rsid w:val="00407A5F"/>
    <w:rsid w:val="00417D15"/>
    <w:rsid w:val="0042081F"/>
    <w:rsid w:val="00442CAB"/>
    <w:rsid w:val="00457419"/>
    <w:rsid w:val="00473793"/>
    <w:rsid w:val="00474E3D"/>
    <w:rsid w:val="00490154"/>
    <w:rsid w:val="004B1AA0"/>
    <w:rsid w:val="004D37D4"/>
    <w:rsid w:val="0050033A"/>
    <w:rsid w:val="00560B7F"/>
    <w:rsid w:val="005F74CD"/>
    <w:rsid w:val="0060025B"/>
    <w:rsid w:val="00617531"/>
    <w:rsid w:val="0062139F"/>
    <w:rsid w:val="00646201"/>
    <w:rsid w:val="0066174E"/>
    <w:rsid w:val="00687A79"/>
    <w:rsid w:val="006A2D99"/>
    <w:rsid w:val="006C7CC8"/>
    <w:rsid w:val="006E4BA1"/>
    <w:rsid w:val="006F462C"/>
    <w:rsid w:val="007058AC"/>
    <w:rsid w:val="007115FB"/>
    <w:rsid w:val="00713B87"/>
    <w:rsid w:val="0071738D"/>
    <w:rsid w:val="00722893"/>
    <w:rsid w:val="0078779B"/>
    <w:rsid w:val="007D6195"/>
    <w:rsid w:val="00817177"/>
    <w:rsid w:val="00831540"/>
    <w:rsid w:val="00853245"/>
    <w:rsid w:val="00865298"/>
    <w:rsid w:val="008E408A"/>
    <w:rsid w:val="0090371F"/>
    <w:rsid w:val="00914D4E"/>
    <w:rsid w:val="0093033F"/>
    <w:rsid w:val="009337DD"/>
    <w:rsid w:val="00941224"/>
    <w:rsid w:val="00971A09"/>
    <w:rsid w:val="00977622"/>
    <w:rsid w:val="009E4D55"/>
    <w:rsid w:val="009F67A0"/>
    <w:rsid w:val="00A148C9"/>
    <w:rsid w:val="00A14BEE"/>
    <w:rsid w:val="00A15D3D"/>
    <w:rsid w:val="00A3153F"/>
    <w:rsid w:val="00A931AF"/>
    <w:rsid w:val="00AA3D01"/>
    <w:rsid w:val="00AC09B5"/>
    <w:rsid w:val="00B61BC7"/>
    <w:rsid w:val="00B7505A"/>
    <w:rsid w:val="00BB2E98"/>
    <w:rsid w:val="00BC6B2E"/>
    <w:rsid w:val="00BF5E61"/>
    <w:rsid w:val="00C37902"/>
    <w:rsid w:val="00C4285D"/>
    <w:rsid w:val="00C87C6B"/>
    <w:rsid w:val="00C9018A"/>
    <w:rsid w:val="00C91992"/>
    <w:rsid w:val="00CA47F8"/>
    <w:rsid w:val="00CB60A1"/>
    <w:rsid w:val="00CB6B89"/>
    <w:rsid w:val="00CC7E86"/>
    <w:rsid w:val="00CF184B"/>
    <w:rsid w:val="00D41AB7"/>
    <w:rsid w:val="00D427DE"/>
    <w:rsid w:val="00D7706E"/>
    <w:rsid w:val="00DE0E3A"/>
    <w:rsid w:val="00E10728"/>
    <w:rsid w:val="00E467AD"/>
    <w:rsid w:val="00E96C95"/>
    <w:rsid w:val="00EB6834"/>
    <w:rsid w:val="00ED7431"/>
    <w:rsid w:val="00F03D38"/>
    <w:rsid w:val="00F14001"/>
    <w:rsid w:val="00F1552B"/>
    <w:rsid w:val="00F219EB"/>
    <w:rsid w:val="00F46FDD"/>
    <w:rsid w:val="00F6093B"/>
    <w:rsid w:val="00F84EA3"/>
    <w:rsid w:val="00FA198B"/>
    <w:rsid w:val="00FA6874"/>
    <w:rsid w:val="00FB4899"/>
    <w:rsid w:val="00FC64E3"/>
    <w:rsid w:val="00FE4B9B"/>
    <w:rsid w:val="00FF6A41"/>
    <w:rsid w:val="297A7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22"/>
    <w:semiHidden/>
    <w:unhideWhenUsed/>
    <w:qFormat/>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style>
  <w:style w:type="paragraph" w:styleId="9">
    <w:name w:val="toc 2"/>
    <w:basedOn w:val="1"/>
    <w:next w:val="1"/>
    <w:unhideWhenUsed/>
    <w:uiPriority w:val="39"/>
    <w:pPr>
      <w:ind w:left="420" w:leftChars="200"/>
    </w:pPr>
  </w:style>
  <w:style w:type="character" w:styleId="12">
    <w:name w:val="Hyperlink"/>
    <w:basedOn w:val="11"/>
    <w:unhideWhenUsed/>
    <w:uiPriority w:val="99"/>
    <w:rPr>
      <w:color w:val="0563C1" w:themeColor="hyperlink"/>
      <w:u w:val="single"/>
    </w:rPr>
  </w:style>
  <w:style w:type="character" w:customStyle="1" w:styleId="13">
    <w:name w:val="页眉 Char"/>
    <w:basedOn w:val="11"/>
    <w:link w:val="7"/>
    <w:uiPriority w:val="99"/>
    <w:rPr>
      <w:sz w:val="18"/>
      <w:szCs w:val="18"/>
    </w:rPr>
  </w:style>
  <w:style w:type="character" w:customStyle="1" w:styleId="14">
    <w:name w:val="页脚 Char"/>
    <w:basedOn w:val="11"/>
    <w:link w:val="6"/>
    <w:uiPriority w:val="99"/>
    <w:rPr>
      <w:sz w:val="18"/>
      <w:szCs w:val="18"/>
    </w:rPr>
  </w:style>
  <w:style w:type="character" w:customStyle="1" w:styleId="15">
    <w:name w:val="标题 2 字符"/>
    <w:basedOn w:val="11"/>
    <w:semiHidden/>
    <w:uiPriority w:val="9"/>
    <w:rPr>
      <w:rFonts w:asciiTheme="majorHAnsi" w:hAnsiTheme="majorHAnsi" w:eastAsiaTheme="majorEastAsia" w:cstheme="majorBidi"/>
      <w:b/>
      <w:bCs/>
      <w:sz w:val="32"/>
      <w:szCs w:val="32"/>
    </w:rPr>
  </w:style>
  <w:style w:type="character" w:customStyle="1" w:styleId="16">
    <w:name w:val="标题 2 Char"/>
    <w:basedOn w:val="11"/>
    <w:link w:val="3"/>
    <w:uiPriority w:val="0"/>
    <w:rPr>
      <w:rFonts w:ascii="Arial" w:hAnsi="Arial" w:eastAsia="黑体" w:cs="Times New Roman"/>
      <w:b/>
      <w:bCs/>
      <w:sz w:val="32"/>
      <w:szCs w:val="32"/>
    </w:rPr>
  </w:style>
  <w:style w:type="character" w:customStyle="1" w:styleId="17">
    <w:name w:val="标题 1 Char"/>
    <w:basedOn w:val="11"/>
    <w:link w:val="2"/>
    <w:uiPriority w:val="9"/>
    <w:rPr>
      <w:b/>
      <w:bCs/>
      <w:kern w:val="44"/>
      <w:sz w:val="44"/>
      <w:szCs w:val="44"/>
    </w:rPr>
  </w:style>
  <w:style w:type="character" w:customStyle="1" w:styleId="18">
    <w:name w:val="标题 3 Char"/>
    <w:basedOn w:val="11"/>
    <w:link w:val="4"/>
    <w:uiPriority w:val="9"/>
    <w:rPr>
      <w:b/>
      <w:bCs/>
      <w:sz w:val="32"/>
      <w:szCs w:val="32"/>
    </w:rPr>
  </w:style>
  <w:style w:type="paragraph" w:customStyle="1" w:styleId="19">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496" w:themeColor="accent1" w:themeShade="BF"/>
      <w:kern w:val="0"/>
      <w:sz w:val="32"/>
      <w:szCs w:val="32"/>
    </w:rPr>
  </w:style>
  <w:style w:type="paragraph" w:customStyle="1" w:styleId="20">
    <w:name w:val="_Style 18"/>
    <w:basedOn w:val="1"/>
    <w:next w:val="1"/>
    <w:uiPriority w:val="39"/>
    <w:pPr>
      <w:tabs>
        <w:tab w:val="right" w:leader="dot" w:pos="8296"/>
      </w:tabs>
      <w:spacing w:line="360" w:lineRule="auto"/>
    </w:pPr>
    <w:rPr>
      <w:rFonts w:ascii="宋体" w:hAnsi="宋体" w:eastAsia="宋体" w:cs="Times New Roman"/>
      <w:sz w:val="24"/>
      <w:szCs w:val="24"/>
    </w:rPr>
  </w:style>
  <w:style w:type="paragraph" w:customStyle="1" w:styleId="21">
    <w:name w:val="_Style 19"/>
    <w:basedOn w:val="1"/>
    <w:next w:val="1"/>
    <w:qFormat/>
    <w:uiPriority w:val="39"/>
    <w:pPr>
      <w:tabs>
        <w:tab w:val="right" w:leader="dot" w:pos="8296"/>
      </w:tabs>
      <w:spacing w:line="360" w:lineRule="auto"/>
    </w:pPr>
    <w:rPr>
      <w:rFonts w:ascii="宋体" w:hAnsi="宋体" w:eastAsia="宋体" w:cs="Times New Roman"/>
      <w:sz w:val="24"/>
      <w:szCs w:val="24"/>
    </w:rPr>
  </w:style>
  <w:style w:type="character" w:customStyle="1" w:styleId="22">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E7640E-9BB9-4722-9790-16C21999E171}">
  <ds:schemaRefs/>
</ds:datastoreItem>
</file>

<file path=docProps/app.xml><?xml version="1.0" encoding="utf-8"?>
<Properties xmlns="http://schemas.openxmlformats.org/officeDocument/2006/extended-properties" xmlns:vt="http://schemas.openxmlformats.org/officeDocument/2006/docPropsVTypes">
  <Template>Normal</Template>
  <Pages>33</Pages>
  <Words>4487</Words>
  <Characters>25577</Characters>
  <Lines>213</Lines>
  <Paragraphs>60</Paragraphs>
  <TotalTime>827</TotalTime>
  <ScaleCrop>false</ScaleCrop>
  <LinksUpToDate>false</LinksUpToDate>
  <CharactersWithSpaces>30004</CharactersWithSpaces>
  <Application>WPS Office_11.1.0.8799_F1E327BC-269C-435d-A152-05C5408002CA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2020-04-08T10:17:00Z</dcterms:created>
  <dc:creator>姚 笑妍</dc:creator>
  <cp:lastModifiedBy>hp</cp:lastModifiedBy>
  <dcterms:modified xsi:type="dcterms:W3CDTF">2020-04-29T08:27:59Z</dcterms:modified>
  <cp:revision>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