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Arial"/>
          <w:sz w:val="30"/>
          <w:szCs w:val="30"/>
        </w:rPr>
      </w:pPr>
      <w:r>
        <w:rPr>
          <w:rFonts w:hint="eastAsia" w:ascii="黑体" w:hAnsi="黑体" w:eastAsia="黑体" w:cs="Arial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黑体" w:hAnsi="黑体" w:eastAsia="黑体" w:cs="Arial"/>
          <w:sz w:val="28"/>
          <w:szCs w:val="28"/>
        </w:rPr>
      </w:pPr>
      <w:bookmarkStart w:id="0" w:name="_GoBack"/>
      <w:r>
        <w:rPr>
          <w:rFonts w:hint="eastAsia" w:ascii="黑体" w:hAnsi="黑体" w:eastAsia="黑体" w:cs="Arial"/>
          <w:bCs/>
          <w:sz w:val="30"/>
          <w:szCs w:val="30"/>
        </w:rPr>
        <w:t>郑州师范学院</w:t>
      </w:r>
      <w:r>
        <w:rPr>
          <w:rFonts w:ascii="黑体" w:hAnsi="黑体" w:eastAsia="黑体" w:cs="Arial"/>
          <w:bCs/>
          <w:sz w:val="30"/>
          <w:szCs w:val="30"/>
        </w:rPr>
        <w:t>新增学士学位授</w:t>
      </w:r>
      <w:r>
        <w:rPr>
          <w:rFonts w:hint="eastAsia" w:ascii="黑体" w:hAnsi="黑体" w:eastAsia="黑体" w:cs="Arial"/>
          <w:bCs/>
          <w:sz w:val="30"/>
          <w:szCs w:val="30"/>
        </w:rPr>
        <w:t>予</w:t>
      </w:r>
      <w:r>
        <w:rPr>
          <w:rFonts w:ascii="黑体" w:hAnsi="黑体" w:eastAsia="黑体" w:cs="Arial"/>
          <w:bCs/>
          <w:sz w:val="30"/>
          <w:szCs w:val="30"/>
        </w:rPr>
        <w:t>专业评审指标体系</w:t>
      </w:r>
      <w:bookmarkEnd w:id="0"/>
    </w:p>
    <w:tbl>
      <w:tblPr>
        <w:tblStyle w:val="3"/>
        <w:tblW w:w="85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562"/>
        <w:gridCol w:w="4052"/>
        <w:gridCol w:w="992"/>
        <w:gridCol w:w="9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pacing w:val="-20"/>
                <w:szCs w:val="21"/>
              </w:rPr>
              <w:t>一级指标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pacing w:val="-20"/>
                <w:szCs w:val="21"/>
              </w:rPr>
              <w:t>二级指标</w:t>
            </w:r>
          </w:p>
        </w:tc>
        <w:tc>
          <w:tcPr>
            <w:tcW w:w="40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pacing w:val="-20"/>
                <w:szCs w:val="21"/>
              </w:rPr>
              <w:t>评 审 内 容 与 标 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pacing w:val="-20"/>
                <w:szCs w:val="21"/>
              </w:rPr>
              <w:t>二级指标</w:t>
            </w:r>
          </w:p>
          <w:p>
            <w:pPr>
              <w:jc w:val="center"/>
              <w:rPr>
                <w:rFonts w:ascii="仿宋" w:hAnsi="仿宋" w:eastAsia="仿宋" w:cs="Arial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pacing w:val="-20"/>
                <w:szCs w:val="21"/>
              </w:rPr>
              <w:t>满分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pacing w:val="-20"/>
                <w:szCs w:val="21"/>
              </w:rPr>
              <w:t>一级指标满分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（一）</w:t>
            </w:r>
          </w:p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专业建设及人才培养方案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1.1专业建设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专业设置满足社会需要，建设规划科学合理，建设措施得力，成绩显著。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4分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1.2人才培养方案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培养方案符合培养目标的要求，体现德、智、体、美等全面发展、有利于人文素质和科学素质提高，有利于创新精神和实践能力培养，执行情况好。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6分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（二）</w:t>
            </w:r>
          </w:p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教师队伍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b/>
                <w:spacing w:val="-20"/>
                <w:szCs w:val="21"/>
              </w:rPr>
              <w:t>☆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2.1专业负责人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具有正高级职称、学术水平较高</w:t>
            </w:r>
            <w:r>
              <w:rPr>
                <w:rFonts w:hint="eastAsia" w:ascii="仿宋" w:hAnsi="仿宋" w:eastAsia="仿宋" w:cs="Arial"/>
                <w:spacing w:val="-2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6分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20分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b/>
                <w:spacing w:val="-20"/>
                <w:szCs w:val="21"/>
              </w:rPr>
              <w:t>☆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2.2专业教师配备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专任教师总数满足教学要求，专业主干课程教师</w:t>
            </w:r>
            <w:r>
              <w:rPr>
                <w:rFonts w:hint="eastAsia" w:ascii="仿宋" w:hAnsi="仿宋" w:eastAsia="仿宋" w:cs="Arial"/>
                <w:spacing w:val="-20"/>
                <w:szCs w:val="21"/>
              </w:rPr>
              <w:t>≥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3人，并具备良好的专业知识。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4分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2.3专业教师结构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专业教师队伍的专业 、学历、学缘、年龄、职称等结构合理，发展趋势良好。具有研究生学位或相当学历者的比例</w:t>
            </w:r>
            <w:r>
              <w:rPr>
                <w:rFonts w:hint="eastAsia" w:ascii="仿宋" w:hAnsi="仿宋" w:eastAsia="仿宋" w:cs="Arial"/>
                <w:spacing w:val="-20"/>
                <w:szCs w:val="21"/>
              </w:rPr>
              <w:t>≥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30%。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3分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2.4教师教学与科研能力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教师具有较高的教学水平，较强的科研(含教学研究)能力，承担一定数量的科研任务，对教学形成良好支撑。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3分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2.5实验教师队伍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有专职实验教师队伍，结构合理，满足实验教学要求。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4分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（三）</w:t>
            </w:r>
          </w:p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教学条件及利用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3.1专业实验室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设备完善先进，利用率高，在专业人才培养中能发挥较好作用。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8分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20分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b/>
                <w:spacing w:val="-20"/>
                <w:szCs w:val="21"/>
              </w:rPr>
              <w:t>☆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3.2专业图书资料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专业图书资料数量充足，种类较全，满足专业教学需要。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6分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3.3实习基地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校内外实习基地完善、稳定，设施满足实践教学要求。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6分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（四）</w:t>
            </w:r>
          </w:p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教学过程及管理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b/>
                <w:spacing w:val="-20"/>
                <w:szCs w:val="21"/>
              </w:rPr>
              <w:t>☆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4.1课程建设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建设规划科学合理，建设成果显著。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6分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20分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4.2教材建设与选用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教材建设规划科学合理，保障措施具体，落实到位。使用一定数量的省部级以上规划教材，主干课程选用同行公认的优秀教材。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4分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b/>
                <w:spacing w:val="-20"/>
                <w:szCs w:val="21"/>
              </w:rPr>
              <w:t>☆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4.3教学研究与改革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总体思路清晰，计划具体，配套措施有力，执行良好，成效显著。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6分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4.4质量监控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规章制度健全，质量标准明确，体现专业的水平和地位，执行严格；教学质量监控体系科学，注重反馈与改进，成效显著。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4分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（五）</w:t>
            </w:r>
          </w:p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实践教学</w:t>
            </w:r>
          </w:p>
        </w:tc>
        <w:tc>
          <w:tcPr>
            <w:tcW w:w="15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b/>
                <w:spacing w:val="-20"/>
                <w:szCs w:val="21"/>
              </w:rPr>
              <w:t>☆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5.1实验教学</w:t>
            </w:r>
          </w:p>
        </w:tc>
        <w:tc>
          <w:tcPr>
            <w:tcW w:w="4052" w:type="dxa"/>
            <w:tcBorders>
              <w:bottom w:val="single" w:color="000000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实验课程设置科学合理，实验开出率达到教学大纲规定的90%以上，综合性、设计性实验占一定比例。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10分</w:t>
            </w:r>
          </w:p>
        </w:tc>
        <w:tc>
          <w:tcPr>
            <w:tcW w:w="918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15分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5.2实习教学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实习教学环节设置科学合理，计划性强，管理严格。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5分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（六）</w:t>
            </w:r>
          </w:p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毕业论文（设计）</w:t>
            </w: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6.1基本规范要求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规定健全，管理规范，人员落实，要求明确。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2分</w:t>
            </w:r>
          </w:p>
        </w:tc>
        <w:tc>
          <w:tcPr>
            <w:tcW w:w="9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15分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b/>
                <w:spacing w:val="-20"/>
                <w:szCs w:val="21"/>
              </w:rPr>
              <w:t>☆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6.2选题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选题体现专业特色，科学合理，符合培养目标要求。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5分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6.3指导教师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指导教师应具有中级以上职称，数量充足，水平较高。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5分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32" w:type="dxa"/>
            <w:vMerge w:val="continue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6.4过程管理</w:t>
            </w:r>
          </w:p>
        </w:tc>
        <w:tc>
          <w:tcPr>
            <w:tcW w:w="4052" w:type="dxa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过程管理严格、科学；毕业论文（设计）质量合格。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3分</w:t>
            </w:r>
          </w:p>
        </w:tc>
        <w:tc>
          <w:tcPr>
            <w:tcW w:w="9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spacing w:val="-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556" w:type="dxa"/>
            <w:gridSpan w:val="5"/>
            <w:vAlign w:val="center"/>
          </w:tcPr>
          <w:p>
            <w:pPr>
              <w:rPr>
                <w:rFonts w:ascii="仿宋" w:hAnsi="仿宋" w:eastAsia="仿宋" w:cs="Arial"/>
                <w:spacing w:val="-20"/>
                <w:szCs w:val="21"/>
              </w:rPr>
            </w:pPr>
            <w:r>
              <w:rPr>
                <w:rFonts w:ascii="仿宋" w:hAnsi="仿宋" w:eastAsia="仿宋" w:cs="Arial"/>
                <w:spacing w:val="-20"/>
                <w:szCs w:val="21"/>
              </w:rPr>
              <w:t>总分为100分（标注</w:t>
            </w:r>
            <w:r>
              <w:rPr>
                <w:rFonts w:ascii="仿宋" w:hAnsi="仿宋" w:eastAsia="仿宋" w:cs="Arial"/>
                <w:b/>
                <w:spacing w:val="-20"/>
                <w:szCs w:val="21"/>
              </w:rPr>
              <w:t>☆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的指标为核心指标）。总评分</w:t>
            </w:r>
            <w:r>
              <w:rPr>
                <w:rFonts w:hint="eastAsia" w:ascii="仿宋" w:hAnsi="仿宋" w:eastAsia="仿宋" w:cs="Arial"/>
                <w:spacing w:val="-20"/>
                <w:szCs w:val="21"/>
              </w:rPr>
              <w:t>≥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60分，且核心指标得分</w:t>
            </w:r>
            <w:r>
              <w:rPr>
                <w:rFonts w:hint="eastAsia" w:ascii="仿宋" w:hAnsi="仿宋" w:eastAsia="仿宋" w:cs="Arial"/>
                <w:spacing w:val="-20"/>
                <w:szCs w:val="21"/>
              </w:rPr>
              <w:t>≥</w:t>
            </w:r>
            <w:r>
              <w:rPr>
                <w:rFonts w:ascii="仿宋" w:hAnsi="仿宋" w:eastAsia="仿宋" w:cs="Arial"/>
                <w:spacing w:val="-20"/>
                <w:szCs w:val="21"/>
              </w:rPr>
              <w:t>28分为通过</w:t>
            </w:r>
            <w:r>
              <w:rPr>
                <w:rFonts w:hint="eastAsia" w:ascii="仿宋" w:hAnsi="仿宋" w:eastAsia="仿宋" w:cs="Arial"/>
                <w:spacing w:val="-20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0AED"/>
    <w:rsid w:val="771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2017-11-23T02:51:00Z</dcterms:created>
  <dc:creator>蜜儿粑粑</dc:creator>
  <cp:lastModifiedBy>蜜儿粑粑</cp:lastModifiedBy>
  <dcterms:modified xsi:type="dcterms:W3CDTF">2017-11-23T02:53:01Z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