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41" w:rsidRDefault="007C5741">
      <w:pPr>
        <w:rPr>
          <w:rFonts w:ascii="黑体" w:eastAsia="黑体"/>
        </w:rPr>
      </w:pPr>
      <w:bookmarkStart w:id="0" w:name="_GoBack"/>
      <w:bookmarkEnd w:id="0"/>
    </w:p>
    <w:p w:rsidR="007C5741" w:rsidRDefault="007C5741">
      <w:pPr>
        <w:rPr>
          <w:rFonts w:ascii="黑体" w:eastAsia="黑体"/>
        </w:rPr>
      </w:pPr>
    </w:p>
    <w:p w:rsidR="007C5741" w:rsidRDefault="00A1231E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黑体" w:cs="楷体_GB2312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黑体" w:cs="楷体_GB2312" w:hint="eastAsia"/>
          <w:color w:val="000000"/>
          <w:kern w:val="0"/>
          <w:sz w:val="40"/>
          <w:szCs w:val="40"/>
        </w:rPr>
        <w:t>河南省高等学校优秀基层教学组织认定标准</w:t>
      </w:r>
    </w:p>
    <w:p w:rsidR="007C5741" w:rsidRDefault="00A1231E">
      <w:pPr>
        <w:autoSpaceDE w:val="0"/>
        <w:autoSpaceDN w:val="0"/>
        <w:adjustRightInd w:val="0"/>
        <w:jc w:val="center"/>
        <w:rPr>
          <w:rFonts w:ascii="楷体_GB2312" w:eastAsia="楷体_GB2312" w:hAnsi="黑体" w:cs="楷体_GB2312"/>
          <w:color w:val="000000"/>
          <w:kern w:val="0"/>
        </w:rPr>
      </w:pPr>
      <w:r>
        <w:rPr>
          <w:rFonts w:ascii="楷体_GB2312" w:eastAsia="楷体_GB2312" w:hAnsi="黑体" w:cs="楷体_GB2312" w:hint="eastAsia"/>
          <w:color w:val="000000"/>
          <w:kern w:val="0"/>
        </w:rPr>
        <w:t>（试行）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709"/>
        <w:gridCol w:w="7414"/>
      </w:tblGrid>
      <w:tr w:rsidR="007C5741">
        <w:trPr>
          <w:trHeight w:val="38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分值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指标内涵</w:t>
            </w:r>
          </w:p>
        </w:tc>
      </w:tr>
      <w:tr w:rsidR="007C5741">
        <w:trPr>
          <w:trHeight w:val="94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具有完善的议事决策、教学组织与管理、教研活动、听课评议、青年教师培养、教学督导、教学质量评价等管理制度，发展目标和年度计划明确具体、可操作性强。</w:t>
            </w:r>
          </w:p>
        </w:tc>
      </w:tr>
      <w:tr w:rsidR="007C5741">
        <w:trPr>
          <w:trHeight w:val="1436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坚持立德树人，自觉遵守《高等学校教师职业道德规范》，师德师风良好，获得有校级以上先进个人等荣誉；负责人具有高级职称，教学管理经验丰富，享有额外津贴或减免课时量；团队规模原则上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30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人以下，成员年龄、学历、职称、学缘结构合理；教师传帮带机制健全，新入职教师均经过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20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天以上系统培训并配有指导教师。高职院校专任教师“双师型”教师比例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60%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以上。</w:t>
            </w:r>
          </w:p>
        </w:tc>
      </w:tr>
      <w:tr w:rsidR="007C5741">
        <w:trPr>
          <w:trHeight w:val="125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教学</w:t>
            </w:r>
          </w:p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15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年无教学事故；建立有教学评价和质量分析反馈机制；每学年教授为本、专科生上课率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100%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；</w:t>
            </w:r>
          </w:p>
        </w:tc>
      </w:tr>
      <w:tr w:rsidR="007C5741">
        <w:trPr>
          <w:trHeight w:val="118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课程体系符合专业发展，有规范的课程建设规划、教学大纲和课程标准，课程内容及时更新，能将最新的学科前沿、产业发展、科研成果融入课堂教学；编写高质量教材和指导用书；建设有校级以上在线开放课程，信息化教学资源丰富。</w:t>
            </w:r>
          </w:p>
        </w:tc>
      </w:tr>
      <w:tr w:rsidR="007C5741">
        <w:trPr>
          <w:trHeight w:val="88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15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承担有校级及以上教改项目，参与教师占比达到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80%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，获得校级以上教学成果奖；教师人均·学年发表教研论文达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0.3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篇；每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周开展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次集体教育教学研究活动；教师人均</w:t>
            </w:r>
            <w:r>
              <w:rPr>
                <w:rFonts w:ascii="仿宋_GB2312" w:hAnsi="宋体" w:hint="cs"/>
                <w:kern w:val="0"/>
                <w:sz w:val="21"/>
                <w:szCs w:val="21"/>
                <w:cs/>
              </w:rPr>
              <w:t>•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学年</w:t>
            </w:r>
            <w:r>
              <w:rPr>
                <w:rFonts w:ascii="仿宋_GB2312" w:hAnsi="宋体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次以上相互听课，每位专任教师每学年参加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次以上校外教学研讨会议。</w:t>
            </w:r>
          </w:p>
        </w:tc>
      </w:tr>
      <w:tr w:rsidR="007C5741">
        <w:trPr>
          <w:trHeight w:val="1182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制定或落实专业建设规划，定期修订完善人才培养方案，达到国家各专业类教学质量标准；建设有省级以上优势特色专业，专业评估位列前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50%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或通过专业认证；行业企业深度参与专业建设；课程类、实践类等基层教学组织充分发挥在专业评估、专业认证、专业建设中的重要作用。</w:t>
            </w:r>
          </w:p>
        </w:tc>
      </w:tr>
      <w:tr w:rsidR="007C5741">
        <w:trPr>
          <w:trHeight w:val="97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科学制定实践教学方案，规范设置实践教学环节，高质量开展课内实践教学和校外实习实训，实验实训课程开课率及学生覆盖率高；创新创业教育改革成效显著。</w:t>
            </w:r>
          </w:p>
        </w:tc>
      </w:tr>
      <w:tr w:rsidR="007C5741">
        <w:trPr>
          <w:trHeight w:val="71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设有专项经费，教师人均</w:t>
            </w:r>
            <w:r>
              <w:rPr>
                <w:rFonts w:ascii="仿宋_GB2312" w:hAnsi="宋体" w:hint="cs"/>
                <w:kern w:val="0"/>
                <w:sz w:val="21"/>
                <w:szCs w:val="21"/>
                <w:cs/>
              </w:rPr>
              <w:t>•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年度运行经费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2000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元以上，有固定的办公场所、教学资料档案室和相关办公设施，人均教学办公面积在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平方米以上。</w:t>
            </w:r>
          </w:p>
        </w:tc>
      </w:tr>
      <w:tr w:rsidR="007C5741">
        <w:trPr>
          <w:trHeight w:val="92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41" w:rsidRDefault="00A1231E"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教师评教优秀，在省级以上教师讲课大赛成绩优异，指导学生在创新创业大赛、职业技能大赛、学科专业竞赛等赛项获得省级以上奖项或公开发表论文；毕业生就业质量高。</w:t>
            </w:r>
          </w:p>
        </w:tc>
      </w:tr>
    </w:tbl>
    <w:p w:rsidR="007C5741" w:rsidRDefault="007C5741"/>
    <w:sectPr w:rsidR="007C5741" w:rsidSect="007C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1E" w:rsidRDefault="00A1231E" w:rsidP="00406D20">
      <w:r>
        <w:separator/>
      </w:r>
    </w:p>
  </w:endnote>
  <w:endnote w:type="continuationSeparator" w:id="0">
    <w:p w:rsidR="00A1231E" w:rsidRDefault="00A1231E" w:rsidP="0040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1E" w:rsidRDefault="00A1231E" w:rsidP="00406D20">
      <w:r>
        <w:separator/>
      </w:r>
    </w:p>
  </w:footnote>
  <w:footnote w:type="continuationSeparator" w:id="0">
    <w:p w:rsidR="00A1231E" w:rsidRDefault="00A1231E" w:rsidP="00406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E83717"/>
    <w:rsid w:val="00406D20"/>
    <w:rsid w:val="007C5741"/>
    <w:rsid w:val="00A1231E"/>
    <w:rsid w:val="05E83717"/>
    <w:rsid w:val="243852B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741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6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6D20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406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6D2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指南针</dc:creator>
  <cp:lastModifiedBy>hp</cp:lastModifiedBy>
  <cp:revision>2</cp:revision>
  <dcterms:created xsi:type="dcterms:W3CDTF">2018-09-17T01:09:00Z</dcterms:created>
  <dcterms:modified xsi:type="dcterms:W3CDTF">2018-09-27T10:50:00Z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