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b/>
          <w:sz w:val="28"/>
          <w:szCs w:val="28"/>
        </w:rPr>
      </w:pPr>
    </w:p>
    <w:p>
      <w:pPr>
        <w:spacing w:line="500" w:lineRule="exact"/>
        <w:rPr>
          <w:b/>
          <w:sz w:val="28"/>
          <w:szCs w:val="28"/>
        </w:rPr>
      </w:pPr>
    </w:p>
    <w:p>
      <w:pPr>
        <w:jc w:val="center"/>
        <w:rPr>
          <w:rFonts w:ascii="方正小标宋简体" w:eastAsia="方正小标宋简体"/>
          <w:color w:val="FF0000"/>
          <w:sz w:val="110"/>
          <w:szCs w:val="110"/>
        </w:rPr>
      </w:pPr>
      <w:r>
        <w:rPr>
          <w:rFonts w:hint="eastAsia" w:ascii="方正小标宋简体" w:eastAsia="方正小标宋简体"/>
          <w:color w:val="FF0000"/>
          <w:spacing w:val="9"/>
          <w:w w:val="97"/>
          <w:kern w:val="0"/>
          <w:sz w:val="110"/>
          <w:szCs w:val="110"/>
          <w:fitText w:val="8593" w:id="0"/>
        </w:rPr>
        <w:t>郑州师范学院文</w:t>
      </w:r>
      <w:r>
        <w:rPr>
          <w:rFonts w:hint="eastAsia" w:ascii="方正小标宋简体" w:eastAsia="方正小标宋简体"/>
          <w:color w:val="FF0000"/>
          <w:spacing w:val="-28"/>
          <w:w w:val="97"/>
          <w:kern w:val="0"/>
          <w:sz w:val="110"/>
          <w:szCs w:val="110"/>
          <w:fitText w:val="8593" w:id="0"/>
        </w:rPr>
        <w:t>件</w:t>
      </w:r>
    </w:p>
    <w:p>
      <w:pPr>
        <w:spacing w:line="500" w:lineRule="exact"/>
        <w:jc w:val="center"/>
        <w:rPr>
          <w:rFonts w:hint="eastAsia" w:ascii="方正小标宋简体" w:eastAsia="方正小标宋简体"/>
          <w:color w:val="FF0000"/>
          <w:sz w:val="120"/>
          <w:szCs w:val="120"/>
        </w:rPr>
      </w:pPr>
    </w:p>
    <w:p>
      <w:pPr>
        <w:spacing w:line="700" w:lineRule="exact"/>
        <w:jc w:val="center"/>
        <w:rPr>
          <w:rFonts w:hint="eastAsia" w:ascii="仿宋_GB2312" w:eastAsia="仿宋_GB2312"/>
          <w:bCs/>
          <w:sz w:val="32"/>
          <w:szCs w:val="28"/>
        </w:rPr>
      </w:pPr>
      <w:r>
        <w:rPr>
          <w:rFonts w:hint="eastAsia" w:ascii="仿宋_GB2312" w:eastAsia="仿宋_GB2312"/>
          <w:bCs/>
          <w:sz w:val="32"/>
          <w:szCs w:val="28"/>
        </w:rPr>
        <w:t>郑师院〔20</w:t>
      </w:r>
      <w:r>
        <w:rPr>
          <w:rFonts w:hint="eastAsia" w:ascii="仿宋_GB2312" w:eastAsia="仿宋_GB2312"/>
          <w:bCs/>
          <w:sz w:val="32"/>
          <w:szCs w:val="28"/>
          <w:lang w:val="en-US" w:eastAsia="zh-CN"/>
        </w:rPr>
        <w:t>20</w:t>
      </w:r>
      <w:r>
        <w:rPr>
          <w:rFonts w:hint="eastAsia" w:ascii="仿宋_GB2312" w:eastAsia="仿宋_GB2312"/>
          <w:bCs/>
          <w:sz w:val="32"/>
          <w:szCs w:val="28"/>
        </w:rPr>
        <w:t>〕</w:t>
      </w:r>
      <w:r>
        <w:rPr>
          <w:rFonts w:hint="eastAsia" w:ascii="仿宋_GB2312" w:eastAsia="仿宋_GB2312"/>
          <w:bCs/>
          <w:sz w:val="32"/>
          <w:szCs w:val="28"/>
          <w:lang w:val="en-US" w:eastAsia="zh-CN"/>
        </w:rPr>
        <w:t>3</w:t>
      </w:r>
      <w:r>
        <w:rPr>
          <w:rFonts w:hint="eastAsia" w:ascii="仿宋_GB2312" w:eastAsia="仿宋_GB2312"/>
          <w:bCs/>
          <w:sz w:val="32"/>
          <w:szCs w:val="28"/>
        </w:rPr>
        <w:t>号</w:t>
      </w:r>
    </w:p>
    <w:p>
      <w:pPr>
        <w:jc w:val="center"/>
        <w:rPr>
          <w:bCs/>
          <w:sz w:val="32"/>
          <w:szCs w:val="2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15000" cy="0"/>
                <wp:effectExtent l="0" t="9525" r="0" b="1333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58240;mso-width-relative:page;mso-height-relative:page;" filled="f" stroked="t" coordsize="21600,21600" o:gfxdata="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qC1Nw0QAAAAIBAAAPAAAAAAAAAAEAIAAA&#10;ACIAAABkcnMvZG93bnJldi54bWxQSwECFAAUAAAACACHTuJA+KR5TtoBAACXAwAADgAAAAAAAAAB&#10;ACAAAAAgAQAAZHJzL2Uyb0RvYy54bWxQSwUGAAAAAAYABgBZAQAAbAUAAAAA&#10;">
                <v:fill on="f" focussize="0,0"/>
                <v:stroke weight="1.5pt" color="#FF0000" joinstyle="round"/>
                <v:imagedata o:title=""/>
                <o:lock v:ext="edit" aspectratio="f"/>
              </v:line>
            </w:pict>
          </mc:Fallback>
        </mc:AlternateContent>
      </w:r>
    </w:p>
    <w:p>
      <w:pPr>
        <w:spacing w:line="500" w:lineRule="exact"/>
        <w:rPr>
          <w:rFonts w:ascii="宋体" w:cs="宋体"/>
          <w:bCs/>
          <w:color w:val="3E3E3E"/>
          <w:sz w:val="20"/>
          <w:szCs w:val="21"/>
        </w:rPr>
      </w:pPr>
    </w:p>
    <w:p>
      <w:pPr>
        <w:spacing w:line="820" w:lineRule="exact"/>
        <w:jc w:val="center"/>
        <w:rPr>
          <w:rFonts w:hint="eastAsia" w:ascii="方正小标宋简体" w:eastAsia="方正小标宋简体"/>
          <w:sz w:val="44"/>
          <w:szCs w:val="44"/>
        </w:rPr>
      </w:pPr>
      <w:r>
        <w:rPr>
          <w:rFonts w:hint="eastAsia" w:ascii="方正小标宋简体" w:eastAsia="方正小标宋简体"/>
          <w:sz w:val="44"/>
        </w:rPr>
        <w:t>关于印发《</w:t>
      </w:r>
      <w:r>
        <w:rPr>
          <w:rFonts w:hint="eastAsia" w:ascii="方正小标宋简体" w:eastAsia="方正小标宋简体"/>
          <w:sz w:val="44"/>
          <w:szCs w:val="44"/>
        </w:rPr>
        <w:t>郑州师范学院201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20</w:t>
      </w:r>
      <w:r>
        <w:rPr>
          <w:rFonts w:hint="eastAsia" w:ascii="方正小标宋简体" w:eastAsia="方正小标宋简体"/>
          <w:sz w:val="44"/>
          <w:szCs w:val="44"/>
        </w:rPr>
        <w:t>学年</w:t>
      </w:r>
    </w:p>
    <w:p>
      <w:pPr>
        <w:spacing w:line="82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eastAsia="zh-CN"/>
        </w:rPr>
        <w:t>二</w:t>
      </w:r>
      <w:r>
        <w:rPr>
          <w:rFonts w:hint="eastAsia" w:ascii="方正小标宋简体" w:eastAsia="方正小标宋简体"/>
          <w:sz w:val="44"/>
          <w:szCs w:val="44"/>
        </w:rPr>
        <w:t>学期工作要点</w:t>
      </w:r>
      <w:r>
        <w:rPr>
          <w:rFonts w:hint="eastAsia" w:ascii="方正小标宋简体" w:eastAsia="方正小标宋简体"/>
          <w:sz w:val="44"/>
        </w:rPr>
        <w:t>》的通知</w:t>
      </w:r>
    </w:p>
    <w:p>
      <w:pPr>
        <w:spacing w:line="100" w:lineRule="exact"/>
        <w:ind w:right="-164" w:rightChars="-52"/>
        <w:rPr>
          <w:rFonts w:hint="eastAsia"/>
          <w:spacing w:val="20"/>
          <w:kern w:val="0"/>
          <w:szCs w:val="21"/>
          <w:u w:val="single"/>
        </w:rPr>
      </w:pPr>
    </w:p>
    <w:p>
      <w:pPr>
        <w:spacing w:line="100" w:lineRule="exact"/>
        <w:ind w:right="-164" w:rightChars="-52"/>
        <w:rPr>
          <w:rFonts w:hint="eastAsia"/>
          <w:spacing w:val="20"/>
          <w:kern w:val="0"/>
          <w:szCs w:val="21"/>
          <w:u w:val="single"/>
        </w:rPr>
      </w:pPr>
    </w:p>
    <w:p>
      <w:pPr>
        <w:spacing w:line="580" w:lineRule="exact"/>
        <w:rPr>
          <w:rFonts w:hint="eastAsia" w:ascii="仿宋_GB2312" w:hAnsi="黑体" w:eastAsia="仿宋_GB2312"/>
          <w:sz w:val="32"/>
          <w:szCs w:val="32"/>
        </w:rPr>
      </w:pPr>
      <w:r>
        <w:rPr>
          <w:rFonts w:hint="eastAsia" w:ascii="仿宋_GB2312" w:hAnsi="黑体" w:eastAsia="仿宋_GB2312"/>
          <w:sz w:val="32"/>
          <w:szCs w:val="32"/>
        </w:rPr>
        <w:t>校内各单位：</w:t>
      </w:r>
    </w:p>
    <w:p>
      <w:pPr>
        <w:spacing w:line="580" w:lineRule="exact"/>
        <w:ind w:firstLine="632" w:firstLineChars="200"/>
        <w:rPr>
          <w:rFonts w:hint="eastAsia" w:ascii="仿宋_GB2312" w:hAnsi="黑体" w:eastAsia="仿宋_GB2312"/>
          <w:sz w:val="32"/>
          <w:szCs w:val="32"/>
        </w:rPr>
      </w:pPr>
      <w:r>
        <w:rPr>
          <w:rFonts w:hint="eastAsia" w:ascii="仿宋_GB2312" w:hAnsi="黑体" w:eastAsia="仿宋_GB2312"/>
          <w:sz w:val="32"/>
          <w:szCs w:val="32"/>
        </w:rPr>
        <w:t>《郑州师范学院201</w:t>
      </w:r>
      <w:r>
        <w:rPr>
          <w:rFonts w:hint="eastAsia" w:hAnsi="黑体"/>
          <w:sz w:val="32"/>
          <w:szCs w:val="32"/>
          <w:lang w:val="en-US" w:eastAsia="zh-CN"/>
        </w:rPr>
        <w:t>9</w:t>
      </w:r>
      <w:r>
        <w:rPr>
          <w:rFonts w:hint="eastAsia" w:ascii="仿宋_GB2312" w:hAnsi="黑体" w:eastAsia="仿宋_GB2312"/>
          <w:sz w:val="32"/>
          <w:szCs w:val="32"/>
        </w:rPr>
        <w:t>-20</w:t>
      </w:r>
      <w:r>
        <w:rPr>
          <w:rFonts w:hint="eastAsia" w:hAnsi="黑体"/>
          <w:sz w:val="32"/>
          <w:szCs w:val="32"/>
          <w:lang w:val="en-US" w:eastAsia="zh-CN"/>
        </w:rPr>
        <w:t>20</w:t>
      </w:r>
      <w:r>
        <w:rPr>
          <w:rFonts w:hint="eastAsia" w:ascii="仿宋_GB2312" w:hAnsi="黑体" w:eastAsia="仿宋_GB2312"/>
          <w:sz w:val="32"/>
          <w:szCs w:val="32"/>
        </w:rPr>
        <w:t>学年度第二学期工作要点》已经学校研究通过，现予印发，请认真贯彻执行。</w:t>
      </w:r>
      <w:bookmarkStart w:id="1" w:name="_GoBack"/>
      <w:bookmarkEnd w:id="1"/>
    </w:p>
    <w:p>
      <w:pPr>
        <w:spacing w:line="580" w:lineRule="exact"/>
        <w:ind w:firstLine="632" w:firstLineChars="200"/>
        <w:rPr>
          <w:rFonts w:hint="eastAsia" w:ascii="仿宋_GB2312" w:eastAsia="仿宋_GB2312"/>
          <w:sz w:val="32"/>
        </w:rPr>
      </w:pPr>
    </w:p>
    <w:p>
      <w:pPr>
        <w:spacing w:line="580" w:lineRule="exact"/>
        <w:ind w:firstLine="632" w:firstLineChars="200"/>
        <w:rPr>
          <w:rFonts w:hint="eastAsia" w:ascii="仿宋_GB2312" w:eastAsia="仿宋_GB2312"/>
          <w:sz w:val="32"/>
        </w:rPr>
      </w:pPr>
    </w:p>
    <w:p>
      <w:pPr>
        <w:spacing w:line="580" w:lineRule="exact"/>
        <w:ind w:firstLine="632" w:firstLineChars="200"/>
        <w:rPr>
          <w:rFonts w:hint="eastAsia" w:ascii="仿宋_GB2312" w:eastAsia="仿宋_GB2312"/>
          <w:sz w:val="32"/>
        </w:rPr>
      </w:pPr>
    </w:p>
    <w:p>
      <w:pPr>
        <w:spacing w:line="580" w:lineRule="exact"/>
        <w:ind w:firstLine="4725" w:firstLineChars="1495"/>
        <w:rPr>
          <w:rFonts w:hint="eastAsia" w:ascii="仿宋_GB2312" w:hAnsi="Arial" w:eastAsia="仿宋_GB2312" w:cs="Arial"/>
          <w:kern w:val="0"/>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月2</w:t>
      </w:r>
      <w:r>
        <w:rPr>
          <w:rFonts w:hint="eastAsia" w:ascii="仿宋_GB2312" w:eastAsia="仿宋_GB2312"/>
          <w:sz w:val="32"/>
          <w:szCs w:val="32"/>
          <w:lang w:val="en-US" w:eastAsia="zh-CN"/>
        </w:rPr>
        <w:t>0</w:t>
      </w:r>
      <w:r>
        <w:rPr>
          <w:rFonts w:hint="eastAsia" w:ascii="仿宋_GB2312" w:eastAsia="仿宋_GB2312"/>
          <w:sz w:val="32"/>
          <w:szCs w:val="32"/>
        </w:rPr>
        <w:t>日</w:t>
      </w:r>
    </w:p>
    <w:p>
      <w:pPr>
        <w:kinsoku w:val="0"/>
        <w:overflowPunct w:val="0"/>
        <w:autoSpaceDE w:val="0"/>
        <w:autoSpaceDN w:val="0"/>
        <w:spacing w:line="560" w:lineRule="exact"/>
        <w:ind w:firstLine="632" w:firstLineChars="200"/>
        <w:jc w:val="left"/>
        <w:rPr>
          <w:rFonts w:hint="eastAsia" w:ascii="仿宋" w:hAnsi="仿宋" w:eastAsia="仿宋" w:cs="宋体"/>
          <w:sz w:val="32"/>
          <w:szCs w:val="32"/>
          <w:shd w:val="clear" w:color="auto" w:fill="FFFFFF"/>
        </w:rPr>
      </w:pPr>
    </w:p>
    <w:p>
      <w:pPr>
        <w:pStyle w:val="2"/>
        <w:rPr>
          <w:rFonts w:hint="eastAsia" w:ascii="仿宋" w:hAnsi="仿宋" w:eastAsia="仿宋" w:cs="宋体"/>
          <w:sz w:val="32"/>
          <w:szCs w:val="32"/>
          <w:shd w:val="clear" w:color="auto" w:fill="FFFFFF"/>
        </w:rPr>
      </w:pPr>
    </w:p>
    <w:p>
      <w:pPr>
        <w:rPr>
          <w:rFonts w:hint="eastAsia"/>
        </w:rPr>
      </w:pPr>
    </w:p>
    <w:p>
      <w:pPr>
        <w:spacing w:line="579"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郑州师范学院</w:t>
      </w:r>
    </w:p>
    <w:p>
      <w:pPr>
        <w:spacing w:line="579"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2019—2020学年第二学期工作要点</w:t>
      </w:r>
    </w:p>
    <w:p>
      <w:pPr>
        <w:spacing w:line="579" w:lineRule="exact"/>
        <w:ind w:firstLine="632" w:firstLineChars="200"/>
        <w:rPr>
          <w:rFonts w:ascii="黑体" w:hAnsi="黑体" w:eastAsia="黑体"/>
          <w:color w:val="auto"/>
          <w:szCs w:val="32"/>
        </w:rPr>
      </w:pPr>
    </w:p>
    <w:p>
      <w:pPr>
        <w:spacing w:line="579" w:lineRule="exact"/>
        <w:ind w:firstLine="632" w:firstLineChars="200"/>
        <w:rPr>
          <w:rFonts w:ascii="黑体" w:hAnsi="黑体" w:eastAsia="黑体"/>
          <w:color w:val="auto"/>
          <w:szCs w:val="32"/>
        </w:rPr>
      </w:pPr>
      <w:r>
        <w:rPr>
          <w:rFonts w:hint="eastAsia" w:ascii="黑体" w:hAnsi="黑体" w:eastAsia="黑体"/>
          <w:color w:val="auto"/>
          <w:szCs w:val="32"/>
        </w:rPr>
        <w:t>一、指导思想</w:t>
      </w:r>
    </w:p>
    <w:p>
      <w:pPr>
        <w:spacing w:line="579" w:lineRule="exact"/>
        <w:ind w:firstLine="632" w:firstLineChars="200"/>
        <w:rPr>
          <w:rFonts w:hAnsi="宋体"/>
          <w:color w:val="auto"/>
          <w:szCs w:val="32"/>
        </w:rPr>
      </w:pPr>
      <w:r>
        <w:rPr>
          <w:rFonts w:hint="eastAsia" w:hAnsi="黑体"/>
          <w:color w:val="auto"/>
          <w:szCs w:val="32"/>
        </w:rPr>
        <w:t>以习近平新时代中国特色社会主义思想为指导，深入贯彻党的十九大和十九届四中全会精神，贯彻落实全国、省、市教育大会精神，</w:t>
      </w:r>
      <w:r>
        <w:rPr>
          <w:rFonts w:hint="eastAsia" w:hAnsi="黑体"/>
          <w:color w:val="auto"/>
          <w:szCs w:val="32"/>
          <w:lang w:eastAsia="zh-CN"/>
        </w:rPr>
        <w:t>一手抓疫情防控，一手抓内涵建设，</w:t>
      </w:r>
      <w:r>
        <w:rPr>
          <w:rFonts w:hint="eastAsia" w:hAnsi="黑体"/>
          <w:color w:val="auto"/>
          <w:szCs w:val="32"/>
        </w:rPr>
        <w:t>以硕士学位授予单位立项建设为中心任务，以“不忘初心、牢记使命”主题教育问题整改为抓手，加大人才引进力度，推进教育教学改革，加快体制机制建设，全面提升内涵，推动学校各项工作迈上新台阶。</w:t>
      </w:r>
    </w:p>
    <w:p>
      <w:pPr>
        <w:tabs>
          <w:tab w:val="left" w:pos="3594"/>
        </w:tabs>
        <w:spacing w:line="579" w:lineRule="exact"/>
        <w:ind w:firstLine="632" w:firstLineChars="200"/>
        <w:rPr>
          <w:rFonts w:ascii="HanziPen TC" w:hAnsi="HanziPen TC" w:eastAsia="HanziPen TC"/>
          <w:color w:val="auto"/>
          <w:szCs w:val="32"/>
        </w:rPr>
      </w:pPr>
      <w:r>
        <w:rPr>
          <w:rFonts w:hint="eastAsia" w:ascii="黑体" w:hAnsi="黑体" w:eastAsia="黑体"/>
          <w:color w:val="auto"/>
          <w:szCs w:val="32"/>
        </w:rPr>
        <w:t>二、</w:t>
      </w:r>
      <w:r>
        <w:rPr>
          <w:rFonts w:ascii="Zapfino" w:hAnsi="Zapfino" w:eastAsia="黑体"/>
          <w:color w:val="auto"/>
          <w:szCs w:val="32"/>
        </w:rPr>
        <w:t>工作重点</w:t>
      </w:r>
    </w:p>
    <w:p>
      <w:pPr>
        <w:spacing w:line="580" w:lineRule="exact"/>
        <w:ind w:firstLine="632" w:firstLineChars="200"/>
        <w:rPr>
          <w:rFonts w:hint="eastAsia"/>
          <w:color w:val="auto"/>
          <w:szCs w:val="32"/>
        </w:rPr>
      </w:pPr>
      <w:r>
        <w:rPr>
          <w:rFonts w:hint="eastAsia" w:ascii="楷体" w:hAnsi="楷体" w:eastAsia="楷体"/>
          <w:b/>
          <w:color w:val="auto"/>
          <w:szCs w:val="32"/>
        </w:rPr>
        <w:t>1.扎实做好新型冠状病毒感染的肺炎疫情防控工作。</w:t>
      </w:r>
      <w:r>
        <w:rPr>
          <w:rFonts w:hint="eastAsia"/>
          <w:color w:val="auto"/>
          <w:szCs w:val="32"/>
          <w:lang w:eastAsia="zh-CN"/>
        </w:rPr>
        <w:t>切实落实网格化联防联控机制，</w:t>
      </w:r>
      <w:r>
        <w:rPr>
          <w:rFonts w:hint="eastAsia"/>
          <w:color w:val="auto"/>
          <w:szCs w:val="32"/>
        </w:rPr>
        <w:t>加强校内各单位协调联动，严格落实</w:t>
      </w:r>
      <w:r>
        <w:rPr>
          <w:rFonts w:hint="eastAsia" w:hAnsi="仿宋"/>
          <w:color w:val="auto"/>
          <w:szCs w:val="32"/>
        </w:rPr>
        <w:t>开学工作方案、学生分批开学方案、教学工作实施方案、物资保障方案、校园管控方案、学生晨检方案、饮食保障方案等疫情防控措施。</w:t>
      </w:r>
      <w:r>
        <w:rPr>
          <w:rFonts w:hint="eastAsia"/>
          <w:color w:val="auto"/>
          <w:szCs w:val="32"/>
        </w:rPr>
        <w:t>及时发现并有效处置疫情，组织开展好爱国卫生运动，加大校内环境卫生整治力度。继续加强全校师生员工动态管控，做好应对疫情变化的各项准备。</w:t>
      </w:r>
      <w:r>
        <w:rPr>
          <w:rFonts w:hint="eastAsia" w:hAnsi="仿宋"/>
          <w:color w:val="auto"/>
          <w:szCs w:val="32"/>
        </w:rPr>
        <w:t>同时认真做好或积极协调有关部门受到疫情损害相关人员的善后工作，对疫情反映出的相关问题、存在的卫生隐患及有关部门提出的整改意见进行整改。周密做好安全稳定工作，加大校园管控力度，健全完善应急预案</w:t>
      </w:r>
      <w:r>
        <w:rPr>
          <w:color w:val="auto"/>
          <w:szCs w:val="32"/>
        </w:rPr>
        <w:t>，强化应急演练，提高事故防范和应急处置能力。</w:t>
      </w:r>
      <w:r>
        <w:rPr>
          <w:rFonts w:hint="eastAsia"/>
          <w:color w:val="auto"/>
          <w:szCs w:val="32"/>
        </w:rPr>
        <w:t>召开学校2020年度安全工作会议，严格落实安全工作目标责任制和责任追究制，推动安全稳定工作落细落小落实,确保学校安全稳定。</w:t>
      </w:r>
    </w:p>
    <w:p>
      <w:pPr>
        <w:spacing w:line="580" w:lineRule="exact"/>
        <w:ind w:firstLine="640"/>
        <w:rPr>
          <w:rFonts w:hint="eastAsia" w:hAnsi="仿宋"/>
          <w:color w:val="auto"/>
          <w:szCs w:val="32"/>
        </w:rPr>
      </w:pPr>
      <w:r>
        <w:rPr>
          <w:rFonts w:hint="eastAsia" w:ascii="楷体" w:hAnsi="楷体" w:eastAsia="楷体"/>
          <w:b/>
          <w:color w:val="auto"/>
          <w:szCs w:val="32"/>
        </w:rPr>
        <w:t>2.推进硕士学位授予单位立项建设工作。</w:t>
      </w:r>
      <w:r>
        <w:rPr>
          <w:rFonts w:hint="eastAsia" w:hAnsi="仿宋"/>
          <w:color w:val="auto"/>
          <w:szCs w:val="32"/>
        </w:rPr>
        <w:t>根据我校硕士学位授予单位立项建设方案，逐步启动我校硕士点立项建设，搭建现有硕士研究生培养平台，同时扩大与其他院校联合培养硕士研究生规模。计划于2020年与河南师范大学开展联合硕士研究生招收、培养工作。</w:t>
      </w:r>
    </w:p>
    <w:p>
      <w:pPr>
        <w:spacing w:line="579" w:lineRule="exact"/>
        <w:ind w:firstLine="594" w:firstLineChars="188"/>
        <w:rPr>
          <w:rFonts w:hint="eastAsia"/>
          <w:color w:val="auto"/>
          <w:szCs w:val="32"/>
        </w:rPr>
      </w:pPr>
      <w:r>
        <w:rPr>
          <w:rFonts w:hint="eastAsia" w:ascii="楷体" w:hAnsi="楷体" w:eastAsia="楷体"/>
          <w:b/>
          <w:color w:val="auto"/>
          <w:szCs w:val="32"/>
          <w:lang w:val="en-US" w:eastAsia="zh-CN"/>
        </w:rPr>
        <w:t>3.加快学校应用型转型步伐。</w:t>
      </w:r>
      <w:r>
        <w:rPr>
          <w:rFonts w:hint="eastAsia" w:hAnsi="仿宋"/>
          <w:color w:val="auto"/>
          <w:szCs w:val="32"/>
          <w:lang w:val="en-US" w:eastAsia="zh-CN"/>
        </w:rPr>
        <w:t>抓好家政学基地建设，进一步做好产教融合，</w:t>
      </w:r>
      <w:r>
        <w:rPr>
          <w:rFonts w:hint="eastAsia" w:ascii="仿宋" w:hAnsi="仿宋" w:eastAsia="仿宋"/>
          <w:sz w:val="32"/>
          <w:szCs w:val="32"/>
        </w:rPr>
        <w:t>促进产学研协同创新。深化郑州国家中心城市建设重大问题研究</w:t>
      </w:r>
      <w:r>
        <w:rPr>
          <w:rFonts w:hint="eastAsia" w:ascii="仿宋" w:hAnsi="仿宋" w:eastAsia="仿宋"/>
          <w:sz w:val="32"/>
          <w:szCs w:val="32"/>
          <w:lang w:eastAsia="zh-CN"/>
        </w:rPr>
        <w:t>，</w:t>
      </w:r>
      <w:r>
        <w:rPr>
          <w:rFonts w:hint="eastAsia" w:ascii="仿宋" w:hAnsi="仿宋" w:eastAsia="仿宋"/>
          <w:sz w:val="32"/>
          <w:szCs w:val="32"/>
        </w:rPr>
        <w:t>发挥</w:t>
      </w:r>
      <w:r>
        <w:rPr>
          <w:rFonts w:hint="eastAsia" w:hAnsi="黑体"/>
          <w:color w:val="auto"/>
          <w:szCs w:val="32"/>
        </w:rPr>
        <w:t>国家中心城市研究院作用，积极参与“黄河流域生态保护和高质量发展”专项课题，围绕重大课题研究、举办高层论坛、蓝皮书研创、科研课题项目申报等工作，进一步提升智库建设水平，为加快国家中心城市建设提供理论和智力支持。</w:t>
      </w:r>
      <w:r>
        <w:rPr>
          <w:rFonts w:hint="eastAsia"/>
          <w:color w:val="auto"/>
          <w:szCs w:val="32"/>
        </w:rPr>
        <w:t>加强高层次人才引进力度，创新人才引进模式，明确人才引进重点，严密论证，积极引进，审慎把关，全面启动教师发展中心建设，大力实施“请进来，走出去”战略，进一步推进人才强校战略实施。</w:t>
      </w:r>
    </w:p>
    <w:p>
      <w:pPr>
        <w:spacing w:line="579" w:lineRule="exact"/>
        <w:ind w:firstLine="594" w:firstLineChars="188"/>
        <w:rPr>
          <w:color w:val="auto"/>
          <w:szCs w:val="32"/>
        </w:rPr>
      </w:pPr>
      <w:r>
        <w:rPr>
          <w:rFonts w:hint="eastAsia" w:ascii="楷体" w:hAnsi="楷体" w:eastAsia="楷体"/>
          <w:b/>
          <w:color w:val="auto"/>
          <w:szCs w:val="32"/>
          <w:lang w:val="en-US" w:eastAsia="zh-CN"/>
        </w:rPr>
        <w:t>4</w:t>
      </w:r>
      <w:r>
        <w:rPr>
          <w:rFonts w:hint="eastAsia" w:ascii="楷体" w:hAnsi="楷体" w:eastAsia="楷体"/>
          <w:b/>
          <w:color w:val="auto"/>
          <w:szCs w:val="32"/>
        </w:rPr>
        <w:t>.继续推进本科教学质量工程项目建设。</w:t>
      </w:r>
      <w:r>
        <w:rPr>
          <w:rFonts w:hint="eastAsia"/>
          <w:color w:val="auto"/>
          <w:szCs w:val="32"/>
        </w:rPr>
        <w:t>认真</w:t>
      </w:r>
      <w:r>
        <w:rPr>
          <w:rFonts w:hint="eastAsia" w:hAnsi="黑体"/>
          <w:color w:val="auto"/>
          <w:szCs w:val="32"/>
        </w:rPr>
        <w:t>做好20</w:t>
      </w:r>
      <w:r>
        <w:rPr>
          <w:rFonts w:hAnsi="黑体"/>
          <w:color w:val="auto"/>
          <w:szCs w:val="32"/>
        </w:rPr>
        <w:t>20</w:t>
      </w:r>
      <w:r>
        <w:rPr>
          <w:rFonts w:hint="eastAsia" w:hAnsi="黑体"/>
          <w:color w:val="auto"/>
          <w:szCs w:val="32"/>
        </w:rPr>
        <w:t>年校级教学工程项目和教学改革项目立项建设工作，积极遴选优秀教学工程项目参加省市级、国家级评审立项。继续</w:t>
      </w:r>
      <w:r>
        <w:rPr>
          <w:rFonts w:hint="eastAsia"/>
          <w:color w:val="auto"/>
          <w:szCs w:val="32"/>
        </w:rPr>
        <w:t>做好师范专业认证工作，提高师范类专业建设水平和人才培养质量。</w:t>
      </w:r>
      <w:r>
        <w:rPr>
          <w:rFonts w:hint="eastAsia" w:hAnsi="黑体"/>
          <w:color w:val="auto"/>
          <w:szCs w:val="32"/>
        </w:rPr>
        <w:t>进一步</w:t>
      </w:r>
      <w:r>
        <w:rPr>
          <w:rFonts w:hint="eastAsia"/>
          <w:color w:val="auto"/>
          <w:szCs w:val="32"/>
        </w:rPr>
        <w:t>发挥基层教学组织和教学团队</w:t>
      </w:r>
      <w:r>
        <w:rPr>
          <w:rFonts w:hint="eastAsia" w:hAnsi="黑体"/>
          <w:color w:val="auto"/>
          <w:szCs w:val="32"/>
        </w:rPr>
        <w:t>作用，积极组织校内教学比赛，提高教师教研能力和教学水平，打造更多优质课程，切实</w:t>
      </w:r>
      <w:r>
        <w:rPr>
          <w:rFonts w:hint="eastAsia"/>
          <w:color w:val="auto"/>
          <w:szCs w:val="32"/>
        </w:rPr>
        <w:t>促进教学水平和专业建设水平整体提升。</w:t>
      </w:r>
    </w:p>
    <w:p>
      <w:pPr>
        <w:spacing w:line="579" w:lineRule="exact"/>
        <w:ind w:firstLine="632" w:firstLineChars="200"/>
        <w:rPr>
          <w:rFonts w:hAnsi="黑体"/>
          <w:color w:val="auto"/>
          <w:szCs w:val="32"/>
        </w:rPr>
      </w:pPr>
      <w:r>
        <w:rPr>
          <w:rFonts w:hint="eastAsia" w:ascii="楷体" w:hAnsi="楷体" w:eastAsia="楷体"/>
          <w:b/>
          <w:color w:val="auto"/>
          <w:szCs w:val="32"/>
          <w:lang w:val="en-US" w:eastAsia="zh-CN"/>
        </w:rPr>
        <w:t>5</w:t>
      </w:r>
      <w:r>
        <w:rPr>
          <w:rFonts w:hint="eastAsia" w:ascii="楷体" w:hAnsi="楷体" w:eastAsia="楷体"/>
          <w:b/>
          <w:color w:val="auto"/>
          <w:szCs w:val="32"/>
        </w:rPr>
        <w:t>.深化思政课改革创新。</w:t>
      </w:r>
      <w:r>
        <w:rPr>
          <w:rFonts w:hint="eastAsia" w:hAnsi="黑体"/>
          <w:color w:val="auto"/>
          <w:szCs w:val="32"/>
        </w:rPr>
        <w:t>贯彻落实《关于深化新时代学校思想政治理论课改革创新的若干意见》，根据学校《思想政治工作科研规划项目实施办法》要求和部署，持续推进思政专项课题的立项和研究工作，提升思政工作理论研究水平，推动全员、全方位、全过程育人工作再上新台阶。积极探索实践“思政课程”向“课程思政”转化工作，坚持显性教育和隐性教育相统一，挖掘各类课程和教学方式中蕴含的思想政治教育资源，推动全员、全方位、全过程育人工作再上新台阶。</w:t>
      </w:r>
    </w:p>
    <w:p>
      <w:pPr>
        <w:spacing w:line="580" w:lineRule="exact"/>
        <w:ind w:firstLine="632" w:firstLineChars="200"/>
        <w:rPr>
          <w:color w:val="auto"/>
          <w:szCs w:val="32"/>
        </w:rPr>
      </w:pPr>
      <w:r>
        <w:rPr>
          <w:rFonts w:hint="eastAsia" w:ascii="楷体" w:hAnsi="楷体" w:eastAsia="楷体"/>
          <w:b/>
          <w:color w:val="auto"/>
          <w:szCs w:val="32"/>
          <w:lang w:val="en-US" w:eastAsia="zh-CN"/>
        </w:rPr>
        <w:t>6</w:t>
      </w:r>
      <w:r>
        <w:rPr>
          <w:rFonts w:hint="eastAsia" w:ascii="楷体" w:hAnsi="楷体" w:eastAsia="楷体"/>
          <w:b/>
          <w:color w:val="auto"/>
          <w:szCs w:val="32"/>
        </w:rPr>
        <w:t>.加快基础设施建设。</w:t>
      </w:r>
      <w:r>
        <w:rPr>
          <w:rFonts w:hint="eastAsia" w:hAnsi="黑体"/>
          <w:color w:val="auto"/>
          <w:szCs w:val="32"/>
        </w:rPr>
        <w:t>持续推进行政管理科学化进程</w:t>
      </w:r>
      <w:r>
        <w:rPr>
          <w:rFonts w:hint="eastAsia" w:hAnsi="黑体"/>
          <w:color w:val="auto"/>
          <w:szCs w:val="32"/>
          <w:lang w:eastAsia="zh-CN"/>
        </w:rPr>
        <w:t>，</w:t>
      </w:r>
      <w:r>
        <w:rPr>
          <w:rFonts w:hint="eastAsia" w:hAnsi="黑体"/>
          <w:color w:val="auto"/>
          <w:szCs w:val="32"/>
        </w:rPr>
        <w:t>着眼无纸化、自动化和网络化办公，全面推进OA办公系统运行，进一步优化全校办文、办事、办会流程，推进学校信息化进程，提高行政管理工作效率</w:t>
      </w:r>
      <w:bookmarkStart w:id="0" w:name="qihoosnap1"/>
      <w:bookmarkEnd w:id="0"/>
      <w:r>
        <w:rPr>
          <w:rFonts w:hint="eastAsia" w:hAnsi="黑体"/>
          <w:color w:val="auto"/>
          <w:szCs w:val="32"/>
        </w:rPr>
        <w:t>。强力推进东校区体育场看台项目建设，完成康复实验楼工程建设，持续推进教师培训实习基地二期项目建设及学生宿舍楼前期手续。做好</w:t>
      </w:r>
      <w:r>
        <w:rPr>
          <w:rFonts w:hint="eastAsia"/>
          <w:color w:val="auto"/>
          <w:szCs w:val="32"/>
        </w:rPr>
        <w:t>校园文化建设、环境修缮和基础设施改造工作。</w:t>
      </w:r>
    </w:p>
    <w:p>
      <w:pPr>
        <w:spacing w:line="580" w:lineRule="exact"/>
        <w:ind w:firstLine="632" w:firstLineChars="200"/>
        <w:rPr>
          <w:rFonts w:hint="eastAsia"/>
          <w:color w:val="auto"/>
          <w:szCs w:val="32"/>
        </w:rPr>
      </w:pPr>
      <w:r>
        <w:rPr>
          <w:rFonts w:hint="eastAsia" w:ascii="楷体" w:hAnsi="楷体" w:eastAsia="楷体"/>
          <w:b/>
          <w:color w:val="auto"/>
          <w:szCs w:val="32"/>
          <w:lang w:val="en-US" w:eastAsia="zh-CN"/>
        </w:rPr>
        <w:t>7</w:t>
      </w:r>
      <w:r>
        <w:rPr>
          <w:rFonts w:hint="eastAsia" w:ascii="楷体" w:hAnsi="楷体" w:eastAsia="楷体"/>
          <w:b/>
          <w:color w:val="auto"/>
          <w:szCs w:val="32"/>
        </w:rPr>
        <w:t>.加强毕业生就业服务。</w:t>
      </w:r>
      <w:r>
        <w:rPr>
          <w:rFonts w:hint="eastAsia" w:hAnsi="仿宋"/>
          <w:color w:val="auto"/>
          <w:szCs w:val="32"/>
          <w:shd w:val="clear" w:color="auto" w:fill="FFFFFF"/>
        </w:rPr>
        <w:t>多措并举持续提升毕业生就业竞争力，建立河南省境外就业平台，改革创新创业课堂教学，引进公共就业服务机构，制订《郑州师范学院大学生创新创业工作评估实施方案》等，进一步拓宽就业领域，拓展就业渠道，促进毕业生高质量就业。</w:t>
      </w:r>
    </w:p>
    <w:p>
      <w:pPr>
        <w:spacing w:line="580" w:lineRule="exact"/>
        <w:ind w:firstLine="632" w:firstLineChars="200"/>
        <w:rPr>
          <w:color w:val="auto"/>
          <w:szCs w:val="32"/>
        </w:rPr>
      </w:pPr>
      <w:r>
        <w:rPr>
          <w:rFonts w:hint="eastAsia" w:ascii="楷体" w:hAnsi="楷体" w:eastAsia="楷体"/>
          <w:b/>
          <w:color w:val="auto"/>
          <w:szCs w:val="32"/>
          <w:lang w:val="en-US" w:eastAsia="zh-CN"/>
        </w:rPr>
        <w:t>8</w:t>
      </w:r>
      <w:r>
        <w:rPr>
          <w:rFonts w:hint="eastAsia" w:ascii="楷体" w:hAnsi="楷体" w:eastAsia="楷体"/>
          <w:b/>
          <w:color w:val="auto"/>
          <w:szCs w:val="32"/>
        </w:rPr>
        <w:t>.纵深推进全面从严治党。</w:t>
      </w:r>
      <w:r>
        <w:rPr>
          <w:rFonts w:hint="eastAsia"/>
          <w:color w:val="auto"/>
          <w:szCs w:val="32"/>
        </w:rPr>
        <w:t>认真贯彻落实党的十九届四中全会精神，把政治建设摆在首位，切实加强政治监督。深化以案促改，推进警示教育常态化制度化。强化监督执纪问责，锲而不舍落实中央八项规定及实施细则精神。持续做好省委巡视整改工作，按照“问题不查清不放过、整改不到位不放过、责任不落实不放过、群众不满意不放过”的要求，对巡视整改工作建立的整改台帐，严格责任落实，确保做到全面整改、深入整改、持续整改。</w:t>
      </w:r>
    </w:p>
    <w:p>
      <w:pPr>
        <w:spacing w:line="579" w:lineRule="exact"/>
        <w:ind w:firstLine="632" w:firstLineChars="200"/>
        <w:rPr>
          <w:rFonts w:ascii="黑体" w:hAnsi="黑体" w:eastAsia="黑体"/>
          <w:color w:val="auto"/>
          <w:szCs w:val="32"/>
        </w:rPr>
      </w:pPr>
      <w:r>
        <w:rPr>
          <w:rFonts w:hint="eastAsia" w:ascii="黑体" w:hAnsi="黑体" w:eastAsia="黑体"/>
          <w:color w:val="auto"/>
          <w:szCs w:val="32"/>
        </w:rPr>
        <w:t>三、保障措施</w:t>
      </w:r>
    </w:p>
    <w:p>
      <w:pPr>
        <w:spacing w:line="579" w:lineRule="exact"/>
        <w:ind w:firstLine="640"/>
        <w:rPr>
          <w:color w:val="auto"/>
          <w:szCs w:val="32"/>
        </w:rPr>
      </w:pPr>
      <w:r>
        <w:rPr>
          <w:rFonts w:hint="eastAsia"/>
          <w:color w:val="auto"/>
          <w:szCs w:val="32"/>
        </w:rPr>
        <w:t>为确保各项重点工作有效落实，学校采取如下保障措施，达到突出工作重点、创新工作机制、畅通运转程序、提高工作效率的目的：</w:t>
      </w:r>
    </w:p>
    <w:p>
      <w:pPr>
        <w:spacing w:line="579" w:lineRule="exact"/>
        <w:ind w:left="640"/>
        <w:rPr>
          <w:rFonts w:ascii="楷体_GB2312" w:eastAsia="楷体_GB2312"/>
          <w:color w:val="auto"/>
          <w:szCs w:val="32"/>
        </w:rPr>
      </w:pPr>
      <w:r>
        <w:rPr>
          <w:rFonts w:hint="eastAsia" w:ascii="楷体_GB2312" w:eastAsia="楷体_GB2312"/>
          <w:color w:val="auto"/>
          <w:szCs w:val="32"/>
        </w:rPr>
        <w:t>（一）强化教学中心地位，不断提高教学质量水平</w:t>
      </w:r>
    </w:p>
    <w:p>
      <w:pPr>
        <w:spacing w:line="580" w:lineRule="exact"/>
        <w:ind w:firstLine="632" w:firstLineChars="200"/>
        <w:jc w:val="left"/>
        <w:rPr>
          <w:rFonts w:hAnsi="黑体"/>
          <w:color w:val="auto"/>
          <w:szCs w:val="32"/>
        </w:rPr>
      </w:pPr>
      <w:r>
        <w:rPr>
          <w:rFonts w:hint="eastAsia"/>
          <w:b/>
          <w:bCs/>
          <w:color w:val="auto"/>
          <w:szCs w:val="32"/>
        </w:rPr>
        <w:t>1.深化教学管理改革。</w:t>
      </w:r>
      <w:r>
        <w:rPr>
          <w:rFonts w:hint="eastAsia"/>
          <w:color w:val="auto"/>
          <w:szCs w:val="32"/>
        </w:rPr>
        <w:t>加大教学管理队伍培训力度，严格教学计划运行管理、考试工作规范化管理、教材管理制度，建立教学管理良性运行机制，提升教学</w:t>
      </w:r>
      <w:r>
        <w:rPr>
          <w:rFonts w:hint="eastAsia" w:hAnsi="黑体"/>
          <w:color w:val="auto"/>
          <w:szCs w:val="32"/>
        </w:rPr>
        <w:t>管理水平。继续开展选课制改革，为所有课程实现网上选课积累管理经验。</w:t>
      </w:r>
      <w:r>
        <w:rPr>
          <w:rFonts w:hint="eastAsia"/>
          <w:color w:val="auto"/>
          <w:szCs w:val="32"/>
        </w:rPr>
        <w:t>继续推进学分制管理改革，</w:t>
      </w:r>
      <w:r>
        <w:rPr>
          <w:rFonts w:hint="eastAsia" w:hAnsi="黑体"/>
          <w:color w:val="auto"/>
          <w:szCs w:val="32"/>
        </w:rPr>
        <w:t>建立课程重修机制，严密制定课程重修、课程退出等制度，建立相应管理平台，完善考籍管理，建立学生学习导师制，切实提高学生学习主动性。充实、调整校院两级学生学位评定委员会，修订学生学位授予管理办法，加强学位管理。</w:t>
      </w:r>
    </w:p>
    <w:p>
      <w:pPr>
        <w:spacing w:line="580" w:lineRule="exact"/>
        <w:ind w:firstLine="700"/>
        <w:rPr>
          <w:color w:val="auto"/>
          <w:szCs w:val="32"/>
        </w:rPr>
      </w:pPr>
      <w:r>
        <w:rPr>
          <w:rFonts w:hint="eastAsia"/>
          <w:b/>
          <w:bCs/>
          <w:color w:val="auto"/>
          <w:szCs w:val="32"/>
        </w:rPr>
        <w:t>2.加强教学质量监控</w:t>
      </w:r>
      <w:r>
        <w:rPr>
          <w:rFonts w:hint="eastAsia"/>
          <w:color w:val="auto"/>
          <w:szCs w:val="32"/>
        </w:rPr>
        <w:t>。落实《郑州师范学院教学质量保障与监控体系工作条例》，实施校、院（部）、系三级质量监控联动机制，常态化监测教学基本状态数据，加强日常教学环节督导评价，持续改进教学质量；推进督导队伍建设，着力提升督导水平；完善校院两级学生信息员沟通与反馈机制，引导老师学生合力促进教学效果提升；坚持和完善专项检查制度，采取普遍性检查和重点项目检查相结合的方式，提高教学检查的针对性和有效性。围绕课堂教学、教研活动、教研项目和教改成果，积极开展教学工作评比和教师教学水平评定，进行第二届</w:t>
      </w:r>
      <w:r>
        <w:rPr>
          <w:rFonts w:hint="eastAsia"/>
          <w:color w:val="auto"/>
          <w:szCs w:val="32"/>
          <w:lang w:eastAsia="zh-CN"/>
        </w:rPr>
        <w:t>“</w:t>
      </w:r>
      <w:r>
        <w:rPr>
          <w:rFonts w:hint="eastAsia"/>
          <w:color w:val="auto"/>
          <w:szCs w:val="32"/>
        </w:rPr>
        <w:t>校长教学质量奖</w:t>
      </w:r>
      <w:r>
        <w:rPr>
          <w:rFonts w:hint="eastAsia"/>
          <w:color w:val="auto"/>
          <w:szCs w:val="32"/>
          <w:lang w:eastAsia="zh-CN"/>
        </w:rPr>
        <w:t>”</w:t>
      </w:r>
      <w:r>
        <w:rPr>
          <w:rFonts w:hint="eastAsia"/>
          <w:color w:val="auto"/>
          <w:szCs w:val="32"/>
        </w:rPr>
        <w:t>评定工作，充分运用综合评价结果实施奖惩，激发广大教师教育教学积极性。</w:t>
      </w:r>
    </w:p>
    <w:p>
      <w:pPr>
        <w:spacing w:line="579" w:lineRule="exact"/>
        <w:ind w:firstLine="594" w:firstLineChars="188"/>
        <w:rPr>
          <w:rFonts w:hAnsi="黑体"/>
          <w:color w:val="auto"/>
          <w:szCs w:val="32"/>
        </w:rPr>
      </w:pPr>
      <w:r>
        <w:rPr>
          <w:rFonts w:hint="eastAsia"/>
          <w:b/>
          <w:bCs/>
          <w:color w:val="auto"/>
          <w:szCs w:val="32"/>
        </w:rPr>
        <w:t>3.强化实践教学效果。</w:t>
      </w:r>
      <w:r>
        <w:rPr>
          <w:rFonts w:hint="eastAsia" w:hAnsi="黑体"/>
          <w:color w:val="auto"/>
          <w:szCs w:val="32"/>
        </w:rPr>
        <w:t>规范实践教学基地的管理，提高实践教学基地的质量。加强实验室建设和管理，提高实验实训教学水平。加强危险化学品管理，确保实验教学安全。加强毕业论文（设计）过程化管理，完善考籍管理，提高学生学习的主动性。</w:t>
      </w:r>
      <w:r>
        <w:rPr>
          <w:rFonts w:hint="eastAsia" w:hAnsi="仿宋"/>
          <w:color w:val="auto"/>
          <w:szCs w:val="32"/>
        </w:rPr>
        <w:t>落实创新创业教育，切实提高学生实践应用能力。开展教师教学技能大赛，注重教学基本功和实践应用能力，切实提高教师教学水平。</w:t>
      </w:r>
    </w:p>
    <w:p>
      <w:pPr>
        <w:spacing w:line="580" w:lineRule="exact"/>
        <w:ind w:firstLine="700"/>
        <w:rPr>
          <w:color w:val="auto"/>
          <w:szCs w:val="32"/>
        </w:rPr>
      </w:pPr>
      <w:r>
        <w:rPr>
          <w:rFonts w:hint="eastAsia"/>
          <w:b/>
          <w:bCs/>
          <w:color w:val="auto"/>
          <w:szCs w:val="32"/>
        </w:rPr>
        <w:t>4.形成服务教学合力。</w:t>
      </w:r>
      <w:r>
        <w:rPr>
          <w:rFonts w:hint="eastAsia" w:hAnsi="仿宋"/>
          <w:color w:val="auto"/>
          <w:szCs w:val="32"/>
        </w:rPr>
        <w:t>进一步突显教学中心地位，通过定期专题研究教学工作、加大教学经费投入、增加教学管理人员等，切实提高教学管理水平，不断改善办学条件。围绕服务教学中心任务，发挥实习实训基地服务保障功能。提高继续教育质量，以“国培计划”项目为示范引领，以骨干教师培训和教育干部</w:t>
      </w:r>
      <w:r>
        <w:rPr>
          <w:rFonts w:hint="eastAsia" w:hAnsi="仿宋" w:cs="仿宋"/>
          <w:color w:val="auto"/>
          <w:szCs w:val="32"/>
        </w:rPr>
        <w:t>培训为重点，进一步强化管理服务，提升培训质量；创新教师培训团队建设和培训模式，提升培训的专业化水平。做好成教评估各项准备工作，进一步规范成教管理，提高人才培养质量。</w:t>
      </w:r>
      <w:r>
        <w:rPr>
          <w:rFonts w:hint="eastAsia"/>
          <w:color w:val="auto"/>
          <w:szCs w:val="32"/>
        </w:rPr>
        <w:t>加大对附属小学、信息物流学院和合办学校的教学指导，提升办学水平，提高学校知名度。</w:t>
      </w:r>
    </w:p>
    <w:p>
      <w:pPr>
        <w:spacing w:line="579" w:lineRule="exact"/>
        <w:ind w:firstLine="643"/>
        <w:rPr>
          <w:b/>
          <w:color w:val="auto"/>
          <w:szCs w:val="32"/>
        </w:rPr>
      </w:pPr>
      <w:r>
        <w:rPr>
          <w:rFonts w:hint="eastAsia"/>
          <w:b/>
          <w:color w:val="auto"/>
          <w:szCs w:val="32"/>
        </w:rPr>
        <w:t>5.</w:t>
      </w:r>
      <w:r>
        <w:rPr>
          <w:rFonts w:hint="eastAsia" w:hAnsi="仿宋" w:cs="仿宋"/>
          <w:b/>
          <w:bCs/>
          <w:color w:val="auto"/>
          <w:szCs w:val="32"/>
        </w:rPr>
        <w:t>做好语言文字和公共艺术教育工作。</w:t>
      </w:r>
      <w:r>
        <w:rPr>
          <w:rFonts w:hint="eastAsia" w:hAnsi="仿宋"/>
          <w:color w:val="auto"/>
          <w:szCs w:val="32"/>
        </w:rPr>
        <w:t>突出师范教育优势，提高学生“三字一话”和“中华经典诵写讲”能力，进一步扩大语言文字工作影响力。扎实做好公艺评估工作，以深化课程改革为主体，完善公共艺术课程体系，加强公共艺术师资队伍建设，提升教学质量。广泛开展第二课堂艺术教学活动，丰富师生艺术生活，推进校园文化建设，增强学生艺术素质、提高审美能力。</w:t>
      </w:r>
    </w:p>
    <w:p>
      <w:pPr>
        <w:spacing w:line="579" w:lineRule="exact"/>
        <w:ind w:firstLine="632" w:firstLineChars="200"/>
        <w:rPr>
          <w:color w:val="auto"/>
          <w:szCs w:val="32"/>
        </w:rPr>
      </w:pPr>
      <w:r>
        <w:rPr>
          <w:rFonts w:hint="eastAsia"/>
          <w:b/>
          <w:color w:val="auto"/>
          <w:szCs w:val="32"/>
        </w:rPr>
        <w:t>6.拓展开放办学广度深度。</w:t>
      </w:r>
      <w:r>
        <w:rPr>
          <w:rFonts w:hint="eastAsia" w:hAnsi="仿宋" w:cs="仿宋"/>
          <w:bCs/>
          <w:color w:val="auto"/>
          <w:szCs w:val="32"/>
        </w:rPr>
        <w:t>拓宽合作领域，不断提升</w:t>
      </w:r>
      <w:r>
        <w:rPr>
          <w:rFonts w:hint="eastAsia" w:hAnsi="仿宋" w:cs="仿宋"/>
          <w:color w:val="auto"/>
          <w:szCs w:val="32"/>
        </w:rPr>
        <w:t>与国外高校</w:t>
      </w:r>
      <w:r>
        <w:rPr>
          <w:rFonts w:hint="eastAsia" w:hAnsi="仿宋" w:cs="仿宋"/>
          <w:bCs/>
          <w:color w:val="auto"/>
          <w:szCs w:val="32"/>
        </w:rPr>
        <w:t>的合作内涵</w:t>
      </w:r>
      <w:r>
        <w:rPr>
          <w:rFonts w:hint="eastAsia" w:hAnsi="仿宋" w:cs="仿宋"/>
          <w:color w:val="auto"/>
          <w:szCs w:val="32"/>
        </w:rPr>
        <w:t>，</w:t>
      </w:r>
      <w:r>
        <w:rPr>
          <w:rFonts w:hint="eastAsia"/>
          <w:color w:val="auto"/>
          <w:szCs w:val="32"/>
        </w:rPr>
        <w:t>加强</w:t>
      </w:r>
      <w:r>
        <w:rPr>
          <w:rFonts w:hint="eastAsia" w:hAnsi="仿宋" w:cs="仿宋"/>
          <w:color w:val="auto"/>
          <w:szCs w:val="32"/>
        </w:rPr>
        <w:t>科研信息共享，促进科研成果交流，切实加快我校国际化进程。拓展合作渠道，积极开展与国外高水平大学学分互认、短期出国（境）交流、外请培训、承办国际会议和活动等多元化交流项目，有效提升教学科研水平，培养国际化视野，搭建国际交流平台</w:t>
      </w:r>
      <w:r>
        <w:rPr>
          <w:rFonts w:hint="eastAsia"/>
          <w:color w:val="auto"/>
          <w:szCs w:val="32"/>
        </w:rPr>
        <w:t>，</w:t>
      </w:r>
      <w:r>
        <w:rPr>
          <w:rFonts w:hint="eastAsia" w:hAnsi="仿宋" w:cs="仿宋"/>
          <w:color w:val="auto"/>
          <w:szCs w:val="32"/>
        </w:rPr>
        <w:t>进一步拓展开放性办学的广度和深度。</w:t>
      </w:r>
      <w:r>
        <w:rPr>
          <w:rFonts w:hint="eastAsia"/>
          <w:color w:val="auto"/>
          <w:szCs w:val="32"/>
        </w:rPr>
        <w:t>认真做好20个出国（境）团组相关手续办理工作。</w:t>
      </w:r>
    </w:p>
    <w:p>
      <w:pPr>
        <w:spacing w:line="579" w:lineRule="exact"/>
        <w:ind w:left="640"/>
        <w:rPr>
          <w:rFonts w:ascii="楷体_GB2312" w:eastAsia="楷体_GB2312"/>
          <w:color w:val="auto"/>
          <w:szCs w:val="32"/>
        </w:rPr>
      </w:pPr>
      <w:r>
        <w:rPr>
          <w:rFonts w:hint="eastAsia" w:ascii="楷体_GB2312" w:eastAsia="楷体_GB2312"/>
          <w:color w:val="auto"/>
          <w:szCs w:val="32"/>
        </w:rPr>
        <w:t>（二）加大科学研究力度，提升服务社会能力</w:t>
      </w:r>
    </w:p>
    <w:p>
      <w:pPr>
        <w:spacing w:line="580" w:lineRule="exact"/>
        <w:ind w:firstLine="632" w:firstLineChars="200"/>
        <w:rPr>
          <w:rFonts w:hAnsi="仿宋" w:cs="仿宋"/>
          <w:color w:val="auto"/>
          <w:szCs w:val="32"/>
        </w:rPr>
      </w:pPr>
      <w:r>
        <w:rPr>
          <w:rFonts w:hint="eastAsia"/>
          <w:b/>
          <w:color w:val="auto"/>
          <w:szCs w:val="32"/>
        </w:rPr>
        <w:t>7.加大科研成果培育力度。</w:t>
      </w:r>
      <w:r>
        <w:rPr>
          <w:rFonts w:hint="eastAsia" w:hAnsi="仿宋"/>
          <w:color w:val="auto"/>
          <w:szCs w:val="32"/>
          <w:shd w:val="clear" w:color="auto" w:fill="FFFFFF"/>
        </w:rPr>
        <w:t>加强高层次项目申报，培育高水平科研成果，强化科研开放合作能力，助推国家级项目立项，引导产出高水平科研成果。全面推进产学研合作，积极推动产教融合与学科建设共发展，瞄准产业链和需求链设置专业群，以高校、企业、学生三方“合作发展”，带动产业资源、教学资源、人才资源相互转化，着力打造“立地式”研发服务的高地，切实解决企业关键技术难题，推动“产学研用”紧密结合服务地方经济社会发展。</w:t>
      </w:r>
    </w:p>
    <w:p>
      <w:pPr>
        <w:spacing w:line="579" w:lineRule="exact"/>
        <w:ind w:firstLine="640"/>
        <w:rPr>
          <w:rFonts w:hAnsi="仿宋_GB2312" w:cs="仿宋_GB2312"/>
          <w:color w:val="auto"/>
          <w:szCs w:val="32"/>
        </w:rPr>
      </w:pPr>
      <w:r>
        <w:rPr>
          <w:rFonts w:hint="eastAsia"/>
          <w:b/>
          <w:color w:val="auto"/>
          <w:szCs w:val="32"/>
        </w:rPr>
        <w:t>8.加强学术科研团队管理。</w:t>
      </w:r>
      <w:r>
        <w:rPr>
          <w:rFonts w:hint="eastAsia" w:hAnsi="仿宋_GB2312" w:cs="仿宋_GB2312"/>
          <w:color w:val="auto"/>
          <w:szCs w:val="32"/>
        </w:rPr>
        <w:t>大力推进重点学科建设和科研平台建设，启动省重点实验室及其它省部级平台的申报工作，加强科研平台的调查研究，摸清资源底数、规范管理程序。加大开放基金投入力度，加强对开放基金的管理及监督，组织申报并立项2021年开放研究基金。扩大联合培养硕士研究生规模，加强博士后创新实践基地建设管理，规范高层次人才管理制度，增强与流动站之间的合作，助推学校高质量发展。</w:t>
      </w:r>
    </w:p>
    <w:p>
      <w:pPr>
        <w:spacing w:line="579" w:lineRule="exact"/>
        <w:ind w:left="640"/>
        <w:rPr>
          <w:rFonts w:ascii="楷体_GB2312" w:eastAsia="楷体_GB2312"/>
          <w:color w:val="auto"/>
          <w:szCs w:val="32"/>
        </w:rPr>
      </w:pPr>
      <w:r>
        <w:rPr>
          <w:rFonts w:hint="eastAsia" w:ascii="楷体_GB2312" w:eastAsia="楷体_GB2312"/>
          <w:color w:val="auto"/>
          <w:szCs w:val="32"/>
        </w:rPr>
        <w:t>（三）创新育人模式，做好学生管理工作</w:t>
      </w:r>
    </w:p>
    <w:p>
      <w:pPr>
        <w:spacing w:line="579" w:lineRule="exact"/>
        <w:ind w:firstLine="632" w:firstLineChars="200"/>
        <w:rPr>
          <w:rFonts w:hAnsi="仿宋"/>
          <w:color w:val="auto"/>
          <w:szCs w:val="32"/>
          <w:shd w:val="clear" w:color="auto" w:fill="FFFFFF"/>
        </w:rPr>
      </w:pPr>
      <w:r>
        <w:rPr>
          <w:rFonts w:hint="eastAsia" w:hAnsi="仿宋" w:cs="仿宋"/>
          <w:b/>
          <w:bCs/>
          <w:color w:val="auto"/>
          <w:szCs w:val="32"/>
        </w:rPr>
        <w:t>9.加强学生管理工作。</w:t>
      </w:r>
      <w:r>
        <w:rPr>
          <w:rFonts w:hint="eastAsia" w:hAnsi="仿宋"/>
          <w:color w:val="auto"/>
          <w:szCs w:val="32"/>
          <w:shd w:val="clear" w:color="auto" w:fill="FFFFFF"/>
        </w:rPr>
        <w:t>着眼于适应高等教育新常态，创新大学生思想政治教育方式方法，</w:t>
      </w:r>
      <w:r>
        <w:rPr>
          <w:rFonts w:hint="eastAsia" w:ascii="仿宋" w:hAnsi="仿宋" w:eastAsia="仿宋"/>
          <w:color w:val="auto"/>
          <w:szCs w:val="32"/>
        </w:rPr>
        <w:t>融合互联网+思想政治教育的创新理念，大力开展养成教育、安全教育、法制教育、传统美德教育、核心价值观教育，</w:t>
      </w:r>
      <w:r>
        <w:rPr>
          <w:rFonts w:hint="eastAsia" w:hAnsi="仿宋"/>
          <w:color w:val="auto"/>
          <w:szCs w:val="32"/>
          <w:shd w:val="clear" w:color="auto" w:fill="FFFFFF"/>
        </w:rPr>
        <w:t>进一步夯实学生日常管理基础，确保学生身心健康。加强辅导员队伍建设，建立健全考核、培训及激励机制，拓展辅导员发展空间，引导辅导员自觉提升专业素养、激发工作热情、增强工作实效，进一步提升学生工作水平。</w:t>
      </w:r>
      <w:r>
        <w:rPr>
          <w:rFonts w:hint="eastAsia" w:hAnsi="仿宋"/>
          <w:color w:val="auto"/>
          <w:szCs w:val="32"/>
          <w:shd w:val="clear" w:color="auto" w:fill="FFFFFF"/>
          <w:lang w:eastAsia="zh-CN"/>
        </w:rPr>
        <w:t>加强心理健康教育，呵护学生身心健康，强化宿舍管理，优化学生成长环境。</w:t>
      </w:r>
      <w:r>
        <w:rPr>
          <w:rFonts w:hint="eastAsia" w:hAnsi="仿宋"/>
          <w:color w:val="auto"/>
          <w:szCs w:val="32"/>
          <w:shd w:val="clear" w:color="auto" w:fill="FFFFFF"/>
        </w:rPr>
        <w:t>大力开展学风建设活动，营造良好的学习氛围；建立健全资助机制，</w:t>
      </w:r>
      <w:r>
        <w:rPr>
          <w:rFonts w:hint="eastAsia" w:hAnsi="仿宋_GB2312" w:cs="仿宋_GB2312"/>
          <w:color w:val="auto"/>
          <w:szCs w:val="32"/>
        </w:rPr>
        <w:t>精准识别资助对象，实现资助资源优化配置。</w:t>
      </w:r>
    </w:p>
    <w:p>
      <w:pPr>
        <w:spacing w:line="579" w:lineRule="exact"/>
        <w:ind w:firstLine="632" w:firstLineChars="200"/>
        <w:rPr>
          <w:rFonts w:hAnsi="仿宋"/>
          <w:color w:val="auto"/>
          <w:szCs w:val="32"/>
          <w:shd w:val="clear" w:color="auto" w:fill="FFFFFF"/>
        </w:rPr>
      </w:pPr>
      <w:r>
        <w:rPr>
          <w:rFonts w:hint="eastAsia" w:hAnsi="仿宋" w:cs="仿宋"/>
          <w:b/>
          <w:bCs/>
          <w:color w:val="auto"/>
          <w:szCs w:val="32"/>
        </w:rPr>
        <w:t>10.做好招生就业与创新创业工作。</w:t>
      </w:r>
      <w:r>
        <w:rPr>
          <w:rFonts w:hint="eastAsia" w:hAnsi="仿宋"/>
          <w:color w:val="auto"/>
          <w:szCs w:val="32"/>
          <w:shd w:val="clear" w:color="auto" w:fill="FFFFFF"/>
        </w:rPr>
        <w:t>建立招生计划动态调整机制，分析总结2019年招生情况，做好2020年聋人单考单招的宣传准备、2019年少数民族预科计划申报工作及成人高招计划编制工作。进一步提高生源质量，多措并举持续提升毕业生就业竞争力，建立河南省境外就业平台，改革创新创业课堂教学，引进公共就业服务机构，制订《郑州师范学院大学生创新创业工作评估实施方案》等，进一步拓宽就业领域，拓展就业渠道，促进毕业生高质量就业。</w:t>
      </w:r>
    </w:p>
    <w:p>
      <w:pPr>
        <w:spacing w:line="579" w:lineRule="exact"/>
        <w:ind w:left="640"/>
        <w:rPr>
          <w:rFonts w:ascii="楷体_GB2312" w:eastAsia="楷体_GB2312"/>
          <w:color w:val="auto"/>
          <w:szCs w:val="32"/>
        </w:rPr>
      </w:pPr>
      <w:r>
        <w:rPr>
          <w:rFonts w:hint="eastAsia" w:ascii="楷体_GB2312" w:eastAsia="楷体_GB2312"/>
          <w:color w:val="auto"/>
          <w:szCs w:val="32"/>
        </w:rPr>
        <w:t>（四）重视培育挖潜相结合，提升师资队伍水平</w:t>
      </w:r>
    </w:p>
    <w:p>
      <w:pPr>
        <w:widowControl/>
        <w:adjustRightInd w:val="0"/>
        <w:snapToGrid w:val="0"/>
        <w:spacing w:line="579" w:lineRule="exact"/>
        <w:ind w:firstLine="632" w:firstLineChars="200"/>
        <w:rPr>
          <w:rFonts w:hAnsi="仿宋_GB2312" w:cs="仿宋_GB2312"/>
          <w:color w:val="auto"/>
          <w:kern w:val="0"/>
          <w:szCs w:val="32"/>
        </w:rPr>
      </w:pPr>
      <w:r>
        <w:rPr>
          <w:rFonts w:hint="eastAsia" w:hAnsi="仿宋" w:cs="仿宋"/>
          <w:b/>
          <w:bCs/>
          <w:color w:val="auto"/>
          <w:szCs w:val="32"/>
        </w:rPr>
        <w:t>11.积极提升教师综合素质。</w:t>
      </w:r>
      <w:r>
        <w:rPr>
          <w:rFonts w:hint="eastAsia" w:ascii="仿宋" w:hAnsi="仿宋" w:eastAsia="仿宋" w:cs="仿宋"/>
          <w:color w:val="auto"/>
          <w:szCs w:val="32"/>
        </w:rPr>
        <w:t>坚持“充实数量、优化结构、提高素质、稳定骨干、造就名师”的师资队伍建设思路，积极</w:t>
      </w:r>
      <w:r>
        <w:rPr>
          <w:rFonts w:hint="eastAsia" w:hAnsi="仿宋" w:cs="宋体"/>
          <w:color w:val="auto"/>
          <w:kern w:val="0"/>
          <w:szCs w:val="32"/>
        </w:rPr>
        <w:t>完善人才引进政策，加大高层次人才引进力度，灵活运用青年教师导师制，加速青年教师专业成长，着力打造衔接紧密、梯队完整的教师队伍。紧密结合地方经济发展，健全双师双能型教师发展的制度体系与运行机制，强化双师双能型教师队伍建设。开展近三年新进教师系统化培训和在职教师培训，进一步提升教师队伍综合素养。</w:t>
      </w:r>
    </w:p>
    <w:p>
      <w:pPr>
        <w:spacing w:line="579" w:lineRule="exact"/>
        <w:ind w:firstLine="632" w:firstLineChars="200"/>
        <w:rPr>
          <w:rFonts w:ascii="楷体_GB2312" w:eastAsia="楷体_GB2312"/>
          <w:color w:val="auto"/>
          <w:szCs w:val="32"/>
        </w:rPr>
      </w:pPr>
      <w:r>
        <w:rPr>
          <w:rFonts w:hint="eastAsia" w:ascii="楷体_GB2312" w:eastAsia="楷体_GB2312"/>
          <w:color w:val="auto"/>
          <w:szCs w:val="32"/>
        </w:rPr>
        <w:t>（五）积极改善办学条件，提高服务保障水平</w:t>
      </w:r>
    </w:p>
    <w:p>
      <w:pPr>
        <w:pStyle w:val="3"/>
        <w:spacing w:before="0" w:beforeAutospacing="0" w:after="0" w:afterAutospacing="0" w:line="579" w:lineRule="exact"/>
        <w:ind w:firstLine="634"/>
        <w:jc w:val="both"/>
        <w:rPr>
          <w:rFonts w:ascii="仿宋_GB2312" w:cstheme="minorBidi"/>
          <w:b w:val="0"/>
          <w:color w:val="auto"/>
          <w:kern w:val="2"/>
          <w:sz w:val="32"/>
          <w:szCs w:val="32"/>
        </w:rPr>
      </w:pPr>
      <w:r>
        <w:rPr>
          <w:rFonts w:hint="eastAsia" w:ascii="仿宋_GB2312" w:hAnsi="仿宋" w:cs="仿宋"/>
          <w:color w:val="auto"/>
          <w:kern w:val="2"/>
          <w:sz w:val="32"/>
          <w:szCs w:val="32"/>
        </w:rPr>
        <w:t>12.强化学校内部管理工作。</w:t>
      </w:r>
      <w:r>
        <w:rPr>
          <w:rFonts w:hint="eastAsia" w:ascii="仿宋_GB2312" w:hAnsi="仿宋"/>
          <w:b w:val="0"/>
          <w:bCs w:val="0"/>
          <w:color w:val="auto"/>
          <w:kern w:val="0"/>
          <w:sz w:val="32"/>
          <w:szCs w:val="32"/>
        </w:rPr>
        <w:t>认真落实“十四五”规划前期调研和专项课题设置工作，深入推进本科教育思想大讨论活动，进一步健全内部规章制度，完善内部治理结构，制定校院两级管理体制改革方案，继续推进学科专业优化整合。加强疫情防控期间校内管理，严格执行疫情防控各项制度规定，落实各项具体措施，确保疫情得到有效控制，学校各项工作运转正常。完善资产经营公司运营机制，规范和提升校内公共（商业）服务功能，加强对子公司财务运行及重大事项的（涉及师生切身利益重大项目的）监督。</w:t>
      </w:r>
    </w:p>
    <w:p>
      <w:pPr>
        <w:spacing w:line="580" w:lineRule="exact"/>
        <w:ind w:firstLine="632" w:firstLineChars="200"/>
        <w:rPr>
          <w:rFonts w:hint="eastAsia" w:hAnsi="仿宋"/>
          <w:snapToGrid w:val="0"/>
          <w:color w:val="auto"/>
          <w:spacing w:val="6"/>
          <w:sz w:val="28"/>
          <w:szCs w:val="28"/>
        </w:rPr>
      </w:pPr>
      <w:r>
        <w:rPr>
          <w:rFonts w:hint="eastAsia" w:hAnsi="仿宋" w:cs="仿宋"/>
          <w:b/>
          <w:bCs/>
          <w:color w:val="auto"/>
          <w:szCs w:val="32"/>
        </w:rPr>
        <w:t>13.增强财务保障能力。</w:t>
      </w:r>
      <w:r>
        <w:rPr>
          <w:rFonts w:hint="eastAsia" w:hAnsi="仿宋"/>
          <w:color w:val="auto"/>
          <w:szCs w:val="32"/>
        </w:rPr>
        <w:t>强化内部控制建设，梳理薄弱环节，健全内部控制制度，防范廉政风险。深化预算管理，完善管理体制，增强预算控制作用。</w:t>
      </w:r>
      <w:r>
        <w:rPr>
          <w:rFonts w:hint="eastAsia"/>
          <w:color w:val="auto"/>
          <w:szCs w:val="32"/>
        </w:rPr>
        <w:t>努力争取各级财政资金支持，盘活资金存量，拓宽资金增量，提高资金使用效益。进一步加大对教学科研、人才引进和公共基础建设的投入。</w:t>
      </w:r>
      <w:r>
        <w:rPr>
          <w:rFonts w:hint="eastAsia" w:ascii="仿宋_GB2312" w:hAnsi="仿宋" w:eastAsia="仿宋_GB2312" w:cs="宋体"/>
          <w:b w:val="0"/>
          <w:bCs w:val="0"/>
          <w:color w:val="auto"/>
          <w:kern w:val="0"/>
          <w:sz w:val="32"/>
          <w:szCs w:val="32"/>
          <w:lang w:val="en-US" w:eastAsia="zh-CN" w:bidi="ar-SA"/>
        </w:rPr>
        <w:t>加强校内审计工作规划，配合学校纪委等部门加强学校的规范化建设和纪律建设。</w:t>
      </w:r>
      <w:r>
        <w:rPr>
          <w:rFonts w:hint="eastAsia"/>
          <w:color w:val="auto"/>
          <w:szCs w:val="32"/>
        </w:rPr>
        <w:t>加大学校固定资产清查力度，进一步加强固定资产管理水平，提高资产使用效益</w:t>
      </w:r>
      <w:r>
        <w:rPr>
          <w:rFonts w:hint="eastAsia" w:hAnsi="仿宋"/>
          <w:snapToGrid w:val="0"/>
          <w:color w:val="auto"/>
          <w:spacing w:val="6"/>
          <w:sz w:val="28"/>
          <w:szCs w:val="28"/>
        </w:rPr>
        <w:t>。</w:t>
      </w:r>
    </w:p>
    <w:p>
      <w:pPr>
        <w:spacing w:line="580" w:lineRule="exact"/>
        <w:ind w:firstLine="632" w:firstLineChars="200"/>
        <w:rPr>
          <w:rFonts w:hint="eastAsia" w:hAnsi="等线"/>
          <w:b/>
          <w:color w:val="auto"/>
          <w:szCs w:val="32"/>
        </w:rPr>
      </w:pPr>
      <w:r>
        <w:rPr>
          <w:rFonts w:hint="eastAsia" w:hAnsi="等线"/>
          <w:b/>
          <w:color w:val="auto"/>
          <w:szCs w:val="32"/>
        </w:rPr>
        <w:t>1</w:t>
      </w:r>
      <w:r>
        <w:rPr>
          <w:rFonts w:hint="eastAsia" w:hAnsi="等线"/>
          <w:b/>
          <w:color w:val="auto"/>
          <w:szCs w:val="32"/>
          <w:lang w:val="en-US" w:eastAsia="zh-CN"/>
        </w:rPr>
        <w:t>4</w:t>
      </w:r>
      <w:r>
        <w:rPr>
          <w:rFonts w:hint="eastAsia" w:hAnsi="等线"/>
          <w:b/>
          <w:color w:val="auto"/>
          <w:szCs w:val="32"/>
        </w:rPr>
        <w:t>.加强网络安全管理，加快信息化建设和应用。</w:t>
      </w:r>
      <w:r>
        <w:rPr>
          <w:rFonts w:hint="eastAsia" w:hAnsi="仿宋_GB2312" w:cs="仿宋_GB2312"/>
          <w:color w:val="auto"/>
          <w:szCs w:val="32"/>
        </w:rPr>
        <w:t>完善信息化建设的管理体制和发展机制；探索“互联网+教育”新模式，加快全校各类信息系统的数据整合，进一步推进、完善办公信息化的建设与应用；加强网络安全防护和保障能力，完善我校各级网站、信息系统及教育移动互联网应用的监督管理和安全通报制度。</w:t>
      </w:r>
    </w:p>
    <w:p>
      <w:pPr>
        <w:spacing w:line="580" w:lineRule="exact"/>
        <w:ind w:firstLine="632" w:firstLineChars="200"/>
        <w:rPr>
          <w:rFonts w:hAnsi="等线"/>
          <w:b/>
          <w:color w:val="auto"/>
          <w:szCs w:val="32"/>
        </w:rPr>
      </w:pPr>
      <w:r>
        <w:rPr>
          <w:rFonts w:hint="eastAsia"/>
          <w:b/>
          <w:color w:val="auto"/>
          <w:szCs w:val="32"/>
        </w:rPr>
        <w:t>1</w:t>
      </w:r>
      <w:r>
        <w:rPr>
          <w:rFonts w:hint="eastAsia"/>
          <w:b/>
          <w:color w:val="auto"/>
          <w:szCs w:val="32"/>
          <w:lang w:val="en-US" w:eastAsia="zh-CN"/>
        </w:rPr>
        <w:t>5</w:t>
      </w:r>
      <w:r>
        <w:rPr>
          <w:rFonts w:hint="eastAsia"/>
          <w:b/>
          <w:color w:val="auto"/>
          <w:szCs w:val="32"/>
        </w:rPr>
        <w:t>.提升服务保障水平。</w:t>
      </w:r>
      <w:r>
        <w:rPr>
          <w:rFonts w:hint="eastAsia" w:hAnsi="仿宋_GB2312" w:cs="仿宋_GB2312"/>
          <w:color w:val="auto"/>
          <w:szCs w:val="32"/>
        </w:rPr>
        <w:t>加快在建工程施工进度，积极办理学生宿舍楼前期手续。围绕饮食服务、维修维护、服务招标等，全面实施精细化管理，创建节约型校园。加强医保知识宣传，持续做好疫情防控工作，着力提升校医院医疗服务水平。充分利用自然博物馆馆藏资源，开展科普教育与场馆教学活动。全面推进“信息化办公”应用进程，提高现代化管理水平。加大图书馆文献和信息资源建设力度，提高文献资源利用率。提高校史馆接待水平，深入推进校史研究。加强学习研究，提升学报办刊质量，扩大刊物影响力。推进数字化档案馆建设进程，全面提高服务保障水平。</w:t>
      </w:r>
    </w:p>
    <w:p>
      <w:pPr>
        <w:spacing w:line="579" w:lineRule="exact"/>
        <w:ind w:firstLine="632" w:firstLineChars="200"/>
        <w:rPr>
          <w:color w:val="auto"/>
          <w:szCs w:val="32"/>
        </w:rPr>
      </w:pPr>
      <w:r>
        <w:rPr>
          <w:rFonts w:hint="eastAsia"/>
          <w:b/>
          <w:color w:val="auto"/>
          <w:szCs w:val="32"/>
        </w:rPr>
        <w:t>1</w:t>
      </w:r>
      <w:r>
        <w:rPr>
          <w:rFonts w:hint="eastAsia"/>
          <w:b/>
          <w:color w:val="auto"/>
          <w:szCs w:val="32"/>
          <w:lang w:val="en-US" w:eastAsia="zh-CN"/>
        </w:rPr>
        <w:t>6</w:t>
      </w:r>
      <w:r>
        <w:rPr>
          <w:rFonts w:hint="eastAsia"/>
          <w:b/>
          <w:color w:val="auto"/>
          <w:szCs w:val="32"/>
        </w:rPr>
        <w:t>.构建校园安全防控体系。</w:t>
      </w:r>
      <w:r>
        <w:rPr>
          <w:rFonts w:hint="eastAsia"/>
          <w:color w:val="auto"/>
          <w:szCs w:val="32"/>
        </w:rPr>
        <w:t>以</w:t>
      </w:r>
      <w:r>
        <w:rPr>
          <w:rFonts w:hint="eastAsia" w:hAnsi="仿宋"/>
          <w:color w:val="auto"/>
          <w:szCs w:val="32"/>
        </w:rPr>
        <w:t>维护校园安全稳定为目标</w:t>
      </w:r>
      <w:r>
        <w:rPr>
          <w:rFonts w:hint="eastAsia"/>
          <w:color w:val="auto"/>
          <w:szCs w:val="32"/>
        </w:rPr>
        <w:t>，</w:t>
      </w:r>
      <w:r>
        <w:rPr>
          <w:rFonts w:hint="eastAsia" w:hAnsi="仿宋"/>
          <w:color w:val="auto"/>
          <w:szCs w:val="32"/>
        </w:rPr>
        <w:t>推进双重预防体系建设为抓手，围绕基础性、源头性、突出性、根本性问题，</w:t>
      </w:r>
      <w:r>
        <w:rPr>
          <w:rFonts w:hint="eastAsia"/>
          <w:color w:val="auto"/>
          <w:szCs w:val="32"/>
        </w:rPr>
        <w:t>严格落实安全工作目标责任制和责任追究制。</w:t>
      </w:r>
      <w:r>
        <w:rPr>
          <w:rFonts w:hint="eastAsia" w:hAnsi="仿宋"/>
          <w:color w:val="auto"/>
          <w:szCs w:val="32"/>
        </w:rPr>
        <w:t>开展“平安校园”创建活动，杜绝安全事故发生。</w:t>
      </w:r>
      <w:r>
        <w:rPr>
          <w:rFonts w:hint="eastAsia"/>
          <w:color w:val="auto"/>
          <w:szCs w:val="32"/>
        </w:rPr>
        <w:t>聚焦校园交通、消防安全、校园及周边综合治理、大型活动保障，积极构建人防、物防、技防建设，建立统一指挥、反应灵敏、协调有序、运转高效的快速反应机制，高效的警校联动机制，全面构建校园安全综合防控体系。</w:t>
      </w:r>
    </w:p>
    <w:p>
      <w:pPr>
        <w:spacing w:line="579" w:lineRule="exact"/>
        <w:ind w:left="640"/>
        <w:rPr>
          <w:color w:val="auto"/>
          <w:szCs w:val="32"/>
        </w:rPr>
      </w:pPr>
      <w:r>
        <w:rPr>
          <w:rFonts w:hint="eastAsia" w:ascii="楷体_GB2312" w:eastAsia="楷体_GB2312"/>
          <w:color w:val="auto"/>
          <w:szCs w:val="32"/>
        </w:rPr>
        <w:t>（六）全面加强党的建设和思想政治工作</w:t>
      </w:r>
    </w:p>
    <w:p>
      <w:pPr>
        <w:ind w:firstLine="600"/>
        <w:rPr>
          <w:rFonts w:hAnsi="仿宋_GB2312" w:cs="仿宋_GB2312"/>
          <w:color w:val="auto"/>
          <w:szCs w:val="32"/>
        </w:rPr>
      </w:pPr>
      <w:r>
        <w:rPr>
          <w:rFonts w:hint="eastAsia"/>
          <w:b/>
          <w:color w:val="auto"/>
          <w:szCs w:val="32"/>
        </w:rPr>
        <w:t>1</w:t>
      </w:r>
      <w:r>
        <w:rPr>
          <w:rFonts w:hint="eastAsia"/>
          <w:b/>
          <w:color w:val="auto"/>
          <w:szCs w:val="32"/>
          <w:lang w:val="en-US" w:eastAsia="zh-CN"/>
        </w:rPr>
        <w:t>7</w:t>
      </w:r>
      <w:r>
        <w:rPr>
          <w:rFonts w:hint="eastAsia"/>
          <w:b/>
          <w:color w:val="auto"/>
          <w:szCs w:val="32"/>
        </w:rPr>
        <w:t>.全面加强基层党组织建设。</w:t>
      </w:r>
      <w:r>
        <w:rPr>
          <w:rFonts w:hint="eastAsia"/>
          <w:color w:val="auto"/>
          <w:szCs w:val="32"/>
        </w:rPr>
        <w:t>学习贯彻新修订的《中国共产党普通高等学校基层党组织工作条例》，不断完善党建体制机制，构建学校党委、院系党组织、基层党支部和党员“四位一体”的党建工作格局，不断推进党建工作规范化、科学化。严格贯彻落实《支部工作条例》、《高校党建工作重点任务》，实施“两化一创”强基引领三年行动计划，推动党的一切工作到支部，不断增强基层党组织政治领导力、思想引领力、群众组织力、社会号召力。严格落实“三会一课”、组织生活会、民主评议党员等党的组织生活制度。压紧压实党建工作主体责任，用好抓基层党建述职评议考核“指挥棒”，督促各级党组织书记把基层党建责任扛在肩上、抓在手中。</w:t>
      </w:r>
    </w:p>
    <w:p>
      <w:pPr>
        <w:spacing w:line="579" w:lineRule="exact"/>
        <w:rPr>
          <w:rFonts w:hAnsi="仿宋"/>
          <w:color w:val="auto"/>
          <w:szCs w:val="32"/>
        </w:rPr>
      </w:pPr>
      <w:r>
        <w:rPr>
          <w:rFonts w:hint="eastAsia" w:hAnsi="仿宋_GB2312" w:cs="仿宋_GB2312"/>
          <w:b/>
          <w:bCs/>
          <w:color w:val="auto"/>
          <w:szCs w:val="32"/>
        </w:rPr>
        <w:t>　</w:t>
      </w:r>
      <w:r>
        <w:rPr>
          <w:rFonts w:hint="eastAsia"/>
          <w:b/>
          <w:color w:val="auto"/>
          <w:szCs w:val="32"/>
        </w:rPr>
        <w:t>　1</w:t>
      </w:r>
      <w:r>
        <w:rPr>
          <w:rFonts w:hint="eastAsia"/>
          <w:b/>
          <w:color w:val="auto"/>
          <w:szCs w:val="32"/>
          <w:lang w:val="en-US" w:eastAsia="zh-CN"/>
        </w:rPr>
        <w:t>8</w:t>
      </w:r>
      <w:r>
        <w:rPr>
          <w:rFonts w:hint="eastAsia"/>
          <w:b/>
          <w:color w:val="auto"/>
          <w:szCs w:val="32"/>
        </w:rPr>
        <w:t>.加强干部队伍和党员队伍建设。</w:t>
      </w:r>
      <w:r>
        <w:rPr>
          <w:rFonts w:hint="eastAsia"/>
          <w:color w:val="auto"/>
          <w:szCs w:val="32"/>
        </w:rPr>
        <w:t>学习贯彻《党政领导干部选拔任用工作条例》，加强对新提拔任用干部跟踪考察和适时教育，加强对各单位新组建班子运行情况的跟踪了解和及时指导。加强党务干部队伍建设，落实教师支部书记“双带头人”要求，扩大“双带头人”覆盖面，加大从政治素质高、业务能力强、群众基础好等优秀党员中培养党组织书记力度；加强党支部书记业务培训，提升基层党组织带头人队伍素质。始终把政治标准放在首位，加强高职人员入党工作，严格执行“双推双评三全程”，切实提高发展党员质量。完善从严管理党员制度机制，发挥好教师和学生党员的先锋模范作用。</w:t>
      </w:r>
    </w:p>
    <w:p>
      <w:pPr>
        <w:spacing w:line="579" w:lineRule="exact"/>
        <w:ind w:firstLine="632" w:firstLineChars="200"/>
        <w:rPr>
          <w:rFonts w:hAnsi="仿宋_GB2312" w:cs="仿宋_GB2312"/>
          <w:color w:val="auto"/>
          <w:szCs w:val="32"/>
        </w:rPr>
      </w:pPr>
      <w:r>
        <w:rPr>
          <w:rFonts w:hint="eastAsia" w:hAnsi="仿宋_GB2312" w:cs="仿宋_GB2312"/>
          <w:b/>
          <w:bCs/>
          <w:color w:val="auto"/>
          <w:szCs w:val="32"/>
        </w:rPr>
        <w:t>1</w:t>
      </w:r>
      <w:r>
        <w:rPr>
          <w:rFonts w:hint="eastAsia" w:hAnsi="仿宋_GB2312" w:cs="仿宋_GB2312"/>
          <w:b/>
          <w:bCs/>
          <w:color w:val="auto"/>
          <w:szCs w:val="32"/>
          <w:lang w:val="en-US" w:eastAsia="zh-CN"/>
        </w:rPr>
        <w:t>9</w:t>
      </w:r>
      <w:r>
        <w:rPr>
          <w:rFonts w:hint="eastAsia" w:hAnsi="仿宋_GB2312" w:cs="仿宋_GB2312"/>
          <w:b/>
          <w:bCs/>
          <w:color w:val="auto"/>
          <w:szCs w:val="32"/>
        </w:rPr>
        <w:t>.严格落实意识形态工作责任制。</w:t>
      </w:r>
      <w:r>
        <w:rPr>
          <w:rFonts w:hint="eastAsia" w:hAnsi="仿宋_GB2312" w:cs="仿宋_GB2312"/>
          <w:color w:val="auto"/>
          <w:szCs w:val="32"/>
        </w:rPr>
        <w:t>深入贯彻党管意识形态，加强意识形态责任制，进一步修订完善《意识形态工作责任制实施细则》等相关制度，细化意识形态工作任务要求，健全追责问责机制，牢牢把握意识形态领导权。加强意识形态工作培训，增强党员干部抓好意识形态工作的政治自觉和工作能力。</w:t>
      </w:r>
      <w:r>
        <w:rPr>
          <w:rFonts w:hint="eastAsia" w:hAnsi="仿宋"/>
          <w:color w:val="auto"/>
          <w:szCs w:val="32"/>
        </w:rPr>
        <w:t>以学校意识形态工作责任制为抓手</w:t>
      </w:r>
      <w:r>
        <w:rPr>
          <w:rFonts w:hint="eastAsia" w:hAnsi="仿宋_GB2312" w:cs="仿宋_GB2312"/>
          <w:color w:val="auto"/>
          <w:szCs w:val="32"/>
        </w:rPr>
        <w:t>，加强中国特色社会主义宗教理论学习，做好宗教及抵御和防范校园传教渗透工作，认真落实国家民族宗教政策。</w:t>
      </w:r>
    </w:p>
    <w:p>
      <w:pPr>
        <w:ind w:firstLine="632" w:firstLineChars="200"/>
        <w:rPr>
          <w:rFonts w:hint="eastAsia"/>
          <w:b/>
          <w:sz w:val="32"/>
          <w:szCs w:val="32"/>
        </w:rPr>
      </w:pPr>
      <w:r>
        <w:rPr>
          <w:rFonts w:hint="eastAsia"/>
          <w:b/>
          <w:sz w:val="32"/>
          <w:szCs w:val="32"/>
        </w:rPr>
        <w:t>20.加强党风廉政建设和反腐败工作。</w:t>
      </w:r>
      <w:r>
        <w:rPr>
          <w:rFonts w:hint="eastAsia"/>
          <w:sz w:val="32"/>
          <w:szCs w:val="32"/>
        </w:rPr>
        <w:t>切实履行党委主体责任和纪委监督责任，认真落实“一岗双责”，形成管党治党强大合力，持续推进全面从严治党向纵深发展。以作风建设为载体，以制度建设、监督网络建设、廉政文化建设为重点，开展“转作风，抓落实，求提升”专项督查，聚焦关键岗位、关键少数，强化日常监督，驰而不息纠治四风，把作风建设不断引向深入。深化纪检监察体制改革，形成党的纪律检查和国家监察相互融合、相互衔接、互为一体的工作格局。牢牢把握政治巡察定位，开展校内巡察。持续深化四种形态，突出惩治重点，推动完善制度。推动以案促改制度化常态化，扎实开展警示教育和廉政文化教育，一体推进“三不”体制机制。</w:t>
      </w:r>
    </w:p>
    <w:p>
      <w:pPr>
        <w:spacing w:line="579" w:lineRule="exact"/>
        <w:ind w:firstLine="632" w:firstLineChars="200"/>
        <w:rPr>
          <w:rFonts w:ascii="楷体" w:hAnsi="楷体" w:eastAsia="楷体" w:cs="楷体"/>
          <w:color w:val="auto"/>
          <w:szCs w:val="32"/>
        </w:rPr>
      </w:pPr>
      <w:r>
        <w:rPr>
          <w:rFonts w:hint="eastAsia" w:hAnsi="仿宋_GB2312" w:cs="仿宋_GB2312"/>
          <w:b/>
          <w:bCs/>
          <w:color w:val="auto"/>
          <w:szCs w:val="32"/>
        </w:rPr>
        <w:t>2</w:t>
      </w:r>
      <w:r>
        <w:rPr>
          <w:rFonts w:hint="eastAsia" w:hAnsi="仿宋_GB2312" w:cs="仿宋_GB2312"/>
          <w:b/>
          <w:bCs/>
          <w:color w:val="auto"/>
          <w:szCs w:val="32"/>
          <w:lang w:val="en-US" w:eastAsia="zh-CN"/>
        </w:rPr>
        <w:t>1</w:t>
      </w:r>
      <w:r>
        <w:rPr>
          <w:rFonts w:hint="eastAsia" w:hAnsi="仿宋_GB2312" w:cs="仿宋_GB2312"/>
          <w:b/>
          <w:bCs/>
          <w:color w:val="auto"/>
          <w:szCs w:val="32"/>
        </w:rPr>
        <w:t>.大力加强校内思想政治工作。</w:t>
      </w:r>
      <w:r>
        <w:rPr>
          <w:rFonts w:hint="eastAsia" w:hAnsi="黑体"/>
          <w:color w:val="auto"/>
          <w:szCs w:val="32"/>
        </w:rPr>
        <w:t>继续加强十九大四中全会精神和习近平新时代中国特色社会主义思想学习，创新党委理论中心组、教职工政治学习形式，分层次、多渠道开展学习教育活动。广泛</w:t>
      </w:r>
      <w:r>
        <w:rPr>
          <w:rFonts w:hAnsi="黑体"/>
          <w:color w:val="auto"/>
          <w:szCs w:val="32"/>
        </w:rPr>
        <w:t>开展“雷锋月系列活动”、“剪纸大赛”、“红色故事话经典”故事大会等</w:t>
      </w:r>
      <w:r>
        <w:rPr>
          <w:rFonts w:hint="eastAsia" w:hAnsi="黑体"/>
          <w:color w:val="auto"/>
          <w:szCs w:val="32"/>
        </w:rPr>
        <w:t>系列</w:t>
      </w:r>
      <w:r>
        <w:rPr>
          <w:rFonts w:hAnsi="黑体"/>
          <w:color w:val="auto"/>
          <w:szCs w:val="32"/>
        </w:rPr>
        <w:t>活动，加强优秀文化对师院青年的熏陶，培养爱国主义情操；</w:t>
      </w:r>
      <w:r>
        <w:rPr>
          <w:rFonts w:hint="eastAsia" w:hAnsi="黑体"/>
          <w:color w:val="auto"/>
          <w:szCs w:val="32"/>
        </w:rPr>
        <w:t>建立“挑战杯”工作长效活动机制，深化实施“青年马克主义者培养工程”，加强“双优双强”型学生的培养；推进“基石工程”，加强基层团学干部队伍建设，推进学生会改革和社团整合，提高社团管理水平改革。</w:t>
      </w:r>
    </w:p>
    <w:p>
      <w:pPr>
        <w:spacing w:line="580" w:lineRule="exact"/>
        <w:ind w:firstLine="632" w:firstLineChars="200"/>
        <w:rPr>
          <w:rFonts w:hAnsi="黑体"/>
          <w:color w:val="auto"/>
          <w:szCs w:val="32"/>
        </w:rPr>
      </w:pPr>
      <w:r>
        <w:rPr>
          <w:rFonts w:hint="eastAsia" w:hAnsi="仿宋_GB2312" w:cs="仿宋_GB2312"/>
          <w:b/>
          <w:bCs/>
          <w:color w:val="auto"/>
          <w:szCs w:val="32"/>
        </w:rPr>
        <w:t>2</w:t>
      </w:r>
      <w:r>
        <w:rPr>
          <w:rFonts w:hint="eastAsia" w:hAnsi="仿宋_GB2312" w:cs="仿宋_GB2312"/>
          <w:b/>
          <w:bCs/>
          <w:color w:val="auto"/>
          <w:szCs w:val="32"/>
          <w:lang w:val="en-US" w:eastAsia="zh-CN"/>
        </w:rPr>
        <w:t>2</w:t>
      </w:r>
      <w:r>
        <w:rPr>
          <w:rFonts w:hint="eastAsia" w:hAnsi="仿宋_GB2312" w:cs="仿宋_GB2312"/>
          <w:b/>
          <w:bCs/>
          <w:color w:val="auto"/>
          <w:szCs w:val="32"/>
        </w:rPr>
        <w:t>.加强精神文明和校园文化建设。</w:t>
      </w:r>
      <w:r>
        <w:rPr>
          <w:rFonts w:hint="eastAsia" w:hAnsi="黑体"/>
          <w:color w:val="auto"/>
          <w:szCs w:val="32"/>
        </w:rPr>
        <w:t>完善网络舆情管控处置系统机制，加大工作队伍培训力度。</w:t>
      </w:r>
      <w:r>
        <w:rPr>
          <w:rFonts w:hint="eastAsia" w:hAnsi="仿宋_GB2312" w:cs="仿宋_GB2312"/>
          <w:color w:val="auto"/>
          <w:szCs w:val="32"/>
        </w:rPr>
        <w:t>打造积极向上的校园文化，以培育和践行社会主义核心价值观为目标，持续巩固深化文明建设成果，以争创“全国文明校园”为契机，进一步完善体制机制，创新方法举措，加强师德师风建设，营造浓厚文化氛围，提升校园文化品位层次。继续推进《郑州师范学院校园文化建设二期工程主要项目安排》，在完善校园文化建设机制的基础上，整合资源，推动校园文化建设再上新台阶。</w:t>
      </w:r>
    </w:p>
    <w:p>
      <w:pPr>
        <w:spacing w:line="579" w:lineRule="exact"/>
        <w:ind w:firstLine="632" w:firstLineChars="200"/>
        <w:rPr>
          <w:rFonts w:hAnsi="仿宋_GB2312" w:cs="仿宋_GB2312"/>
          <w:color w:val="auto"/>
          <w:szCs w:val="32"/>
        </w:rPr>
      </w:pPr>
      <w:r>
        <w:rPr>
          <w:rFonts w:hint="eastAsia" w:hAnsi="仿宋_GB2312" w:cs="仿宋_GB2312"/>
          <w:b/>
          <w:bCs/>
          <w:color w:val="auto"/>
          <w:szCs w:val="32"/>
        </w:rPr>
        <w:t>2</w:t>
      </w:r>
      <w:r>
        <w:rPr>
          <w:rFonts w:hint="eastAsia" w:hAnsi="仿宋_GB2312" w:cs="仿宋_GB2312"/>
          <w:b/>
          <w:bCs/>
          <w:color w:val="auto"/>
          <w:szCs w:val="32"/>
          <w:lang w:val="en-US" w:eastAsia="zh-CN"/>
        </w:rPr>
        <w:t>3</w:t>
      </w:r>
      <w:r>
        <w:rPr>
          <w:rFonts w:hint="eastAsia" w:hAnsi="仿宋_GB2312" w:cs="仿宋_GB2312"/>
          <w:b/>
          <w:bCs/>
          <w:color w:val="auto"/>
          <w:szCs w:val="32"/>
        </w:rPr>
        <w:t>.扎实推进精准扶贫工作。</w:t>
      </w:r>
      <w:r>
        <w:rPr>
          <w:rFonts w:hint="eastAsia" w:asciiTheme="minorEastAsia" w:hAnsiTheme="minorEastAsia"/>
          <w:color w:val="auto"/>
          <w:szCs w:val="32"/>
        </w:rPr>
        <w:t>围绕省委、省政府关于打好精准脱贫攻坚战的决策部署，充分发挥学校在人才、科技、智力、管理等方面的优势，</w:t>
      </w:r>
      <w:r>
        <w:rPr>
          <w:rFonts w:hint="eastAsia" w:hAnsi="仿宋_GB2312" w:cs="仿宋_GB2312"/>
          <w:color w:val="auto"/>
          <w:szCs w:val="32"/>
        </w:rPr>
        <w:t>建立完善扶贫工作机制，与南阳市桐柏县“校地结对帮扶”，积极</w:t>
      </w:r>
      <w:r>
        <w:rPr>
          <w:rFonts w:hint="eastAsia" w:asciiTheme="minorEastAsia" w:hAnsiTheme="minorEastAsia"/>
          <w:color w:val="auto"/>
          <w:szCs w:val="32"/>
        </w:rPr>
        <w:t>开展中小学教师培训，提供科技支持、电商人才培训、农副产品购销等</w:t>
      </w:r>
      <w:r>
        <w:rPr>
          <w:rFonts w:hint="eastAsia" w:hAnsi="仿宋_GB2312" w:cs="仿宋_GB2312"/>
          <w:color w:val="auto"/>
          <w:szCs w:val="32"/>
        </w:rPr>
        <w:t>精准扶贫行动。与荥阳市新沟村开展多领域、深层的合作与帮扶，为打赢打好河南脱贫攻坚战、让中原更加出彩作出积极贡献。</w:t>
      </w:r>
    </w:p>
    <w:p>
      <w:pPr>
        <w:ind w:firstLine="632" w:firstLineChars="200"/>
        <w:jc w:val="left"/>
        <w:rPr>
          <w:rFonts w:hint="eastAsia" w:hAnsi="仿宋_GB2312" w:cs="仿宋_GB2312"/>
          <w:color w:val="auto"/>
          <w:szCs w:val="32"/>
        </w:rPr>
      </w:pPr>
      <w:r>
        <w:rPr>
          <w:rFonts w:hint="eastAsia" w:hAnsi="仿宋_GB2312" w:cs="仿宋_GB2312"/>
          <w:b/>
          <w:bCs/>
          <w:color w:val="auto"/>
          <w:szCs w:val="32"/>
        </w:rPr>
        <w:t>2</w:t>
      </w:r>
      <w:r>
        <w:rPr>
          <w:rFonts w:hint="eastAsia" w:hAnsi="仿宋_GB2312" w:cs="仿宋_GB2312"/>
          <w:b/>
          <w:bCs/>
          <w:color w:val="auto"/>
          <w:szCs w:val="32"/>
          <w:lang w:val="en-US" w:eastAsia="zh-CN"/>
        </w:rPr>
        <w:t>4</w:t>
      </w:r>
      <w:r>
        <w:rPr>
          <w:rFonts w:hint="eastAsia" w:hAnsi="仿宋_GB2312" w:cs="仿宋_GB2312"/>
          <w:b/>
          <w:bCs/>
          <w:color w:val="auto"/>
          <w:szCs w:val="32"/>
        </w:rPr>
        <w:t>.优化大统战工作格局。</w:t>
      </w:r>
      <w:r>
        <w:rPr>
          <w:rFonts w:hint="eastAsia" w:hAnsi="仿宋_GB2312" w:cs="仿宋_GB2312"/>
          <w:bCs/>
          <w:color w:val="auto"/>
          <w:szCs w:val="32"/>
        </w:rPr>
        <w:t>切实落实统战工作“四个纳入”、“三个带头”和宗教工作“五个纳入”的要求，</w:t>
      </w:r>
      <w:r>
        <w:rPr>
          <w:rFonts w:hint="eastAsia" w:hAnsi="仿宋_GB2312" w:cs="仿宋_GB2312"/>
          <w:color w:val="auto"/>
          <w:szCs w:val="32"/>
        </w:rPr>
        <w:t>充分发挥“两个领导小组”作用，制定落实学校2020年度统一战线、民族宗教工作目标分解方案，着力完善工作制度，夯实工作基础，为服务地方社会经济，实现学校中心工作目标凝聚广泛力量支持。开展“凝聚力”建设系列活动，进一步夯实</w:t>
      </w:r>
      <w:r>
        <w:rPr>
          <w:rFonts w:hint="eastAsia" w:hAnsi="仿宋_GB2312" w:cs="仿宋_GB2312"/>
          <w:color w:val="auto"/>
          <w:szCs w:val="32"/>
          <w:lang w:eastAsia="zh-CN"/>
        </w:rPr>
        <w:t>统战</w:t>
      </w:r>
      <w:r>
        <w:rPr>
          <w:rFonts w:hint="eastAsia" w:hAnsi="仿宋_GB2312" w:cs="仿宋_GB2312"/>
          <w:color w:val="auto"/>
          <w:szCs w:val="32"/>
        </w:rPr>
        <w:t>工作基础，</w:t>
      </w:r>
      <w:r>
        <w:rPr>
          <w:rFonts w:hint="eastAsia" w:hAnsi="仿宋_GB2312" w:cs="仿宋_GB2312"/>
          <w:color w:val="auto"/>
          <w:szCs w:val="32"/>
          <w:lang w:eastAsia="zh-CN"/>
        </w:rPr>
        <w:t>巩固深化</w:t>
      </w:r>
      <w:r>
        <w:rPr>
          <w:rFonts w:hint="eastAsia" w:hAnsi="仿宋_GB2312" w:cs="仿宋_GB2312"/>
          <w:color w:val="auto"/>
          <w:szCs w:val="32"/>
        </w:rPr>
        <w:t>各民主党派、无党派人士“不忘合作初心，继续携手前进”主题教育</w:t>
      </w:r>
      <w:r>
        <w:rPr>
          <w:rFonts w:hint="eastAsia" w:hAnsi="仿宋_GB2312" w:cs="仿宋_GB2312"/>
          <w:color w:val="auto"/>
          <w:szCs w:val="32"/>
          <w:lang w:eastAsia="zh-CN"/>
        </w:rPr>
        <w:t>成果</w:t>
      </w:r>
      <w:r>
        <w:rPr>
          <w:rFonts w:hint="eastAsia" w:hAnsi="仿宋_GB2312" w:cs="仿宋_GB2312"/>
          <w:color w:val="auto"/>
          <w:szCs w:val="32"/>
        </w:rPr>
        <w:t>，开展好“建言献策、岗位奉献”系列活动。</w:t>
      </w:r>
    </w:p>
    <w:p>
      <w:pPr>
        <w:spacing w:line="579" w:lineRule="exact"/>
        <w:ind w:firstLine="632" w:firstLineChars="200"/>
        <w:rPr>
          <w:rFonts w:hAnsi="仿宋_GB2312" w:cs="仿宋_GB2312"/>
          <w:color w:val="auto"/>
          <w:szCs w:val="32"/>
        </w:rPr>
      </w:pPr>
      <w:r>
        <w:rPr>
          <w:rFonts w:hint="eastAsia" w:hAnsi="仿宋_GB2312" w:cs="仿宋_GB2312"/>
          <w:b/>
          <w:bCs/>
          <w:color w:val="auto"/>
          <w:szCs w:val="32"/>
        </w:rPr>
        <w:t>2</w:t>
      </w:r>
      <w:r>
        <w:rPr>
          <w:rFonts w:hint="eastAsia" w:hAnsi="仿宋_GB2312" w:cs="仿宋_GB2312"/>
          <w:b/>
          <w:bCs/>
          <w:color w:val="auto"/>
          <w:szCs w:val="32"/>
          <w:lang w:val="en-US" w:eastAsia="zh-CN"/>
        </w:rPr>
        <w:t>5</w:t>
      </w:r>
      <w:r>
        <w:rPr>
          <w:rFonts w:hint="eastAsia" w:hAnsi="仿宋_GB2312" w:cs="仿宋_GB2312"/>
          <w:b/>
          <w:bCs/>
          <w:color w:val="auto"/>
          <w:szCs w:val="32"/>
        </w:rPr>
        <w:t>.提升民主监督水平。</w:t>
      </w:r>
      <w:r>
        <w:rPr>
          <w:rFonts w:hint="eastAsia" w:hAnsi="仿宋_GB2312" w:cs="仿宋_GB2312"/>
          <w:color w:val="auto"/>
          <w:szCs w:val="32"/>
        </w:rPr>
        <w:t>积极探索教职工参与学校民主管理的新机制，发挥工会、教代会在民主管理和民主监督中的作用。加强离退休人员服务管理，支持“关工委”工作，充分发挥离退休老同志在学校改革发展中的重要作用。开发、利用校友资源，策划有关活动，提高校友服务学校发展的能力。</w:t>
      </w:r>
    </w:p>
    <w:p>
      <w:pPr>
        <w:spacing w:line="579" w:lineRule="exact"/>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
      <w:pPr>
        <w:spacing w:line="80" w:lineRule="exact"/>
        <w:rPr>
          <w:rFonts w:hint="eastAsia" w:ascii="仿宋_GB2312" w:hAnsi="宋体" w:eastAsia="仿宋_GB2312" w:cs="Times New Roman"/>
          <w:spacing w:val="20"/>
          <w:kern w:val="0"/>
          <w:sz w:val="28"/>
          <w:szCs w:val="28"/>
          <w:u w:val="single"/>
        </w:rPr>
      </w:pPr>
      <w:r>
        <w:rPr>
          <w:rFonts w:hint="eastAsia" w:ascii="仿宋_GB2312" w:hAnsi="宋体" w:eastAsia="仿宋_GB2312" w:cs="Times New Roman"/>
          <w:spacing w:val="20"/>
          <w:kern w:val="0"/>
          <w:sz w:val="28"/>
          <w:szCs w:val="28"/>
          <w:u w:val="single"/>
          <w:lang w:val="en-US" w:eastAsia="zh-CN"/>
        </w:rPr>
        <w:t xml:space="preserve">  </w:t>
      </w:r>
      <w:r>
        <w:rPr>
          <w:rFonts w:hint="eastAsia" w:ascii="仿宋_GB2312" w:hAnsi="宋体" w:eastAsia="仿宋_GB2312" w:cs="Times New Roman"/>
          <w:spacing w:val="20"/>
          <w:kern w:val="0"/>
          <w:sz w:val="28"/>
          <w:szCs w:val="28"/>
          <w:u w:val="single"/>
        </w:rPr>
        <w:t xml:space="preserve">                     </w:t>
      </w:r>
      <w:r>
        <w:rPr>
          <w:rFonts w:hint="eastAsia" w:ascii="仿宋_GB2312" w:hAnsi="宋体" w:eastAsia="仿宋_GB2312" w:cs="Times New Roman"/>
          <w:spacing w:val="20"/>
          <w:kern w:val="0"/>
          <w:sz w:val="28"/>
          <w:szCs w:val="28"/>
          <w:u w:val="single"/>
          <w:lang w:val="en-US" w:eastAsia="zh-CN"/>
        </w:rPr>
        <w:t xml:space="preserve">                               </w:t>
      </w:r>
      <w:r>
        <w:rPr>
          <w:rFonts w:hint="eastAsia" w:ascii="仿宋_GB2312" w:hAnsi="宋体" w:eastAsia="仿宋_GB2312" w:cs="Times New Roman"/>
          <w:spacing w:val="20"/>
          <w:kern w:val="0"/>
          <w:sz w:val="28"/>
          <w:szCs w:val="28"/>
          <w:u w:val="single"/>
        </w:rPr>
        <w:t xml:space="preserve">                           </w:t>
      </w:r>
      <w:r>
        <w:rPr>
          <w:rFonts w:hint="eastAsia" w:ascii="仿宋_GB2312" w:hAnsi="宋体" w:eastAsia="仿宋_GB2312" w:cs="Times New Roman"/>
          <w:spacing w:val="20"/>
          <w:kern w:val="0"/>
          <w:sz w:val="28"/>
          <w:szCs w:val="28"/>
          <w:u w:val="single"/>
          <w:lang w:val="en-US" w:eastAsia="zh-CN"/>
        </w:rPr>
        <w:t xml:space="preserve">  </w:t>
      </w:r>
      <w:r>
        <w:rPr>
          <w:rFonts w:hint="eastAsia" w:ascii="仿宋_GB2312" w:hAnsi="宋体" w:eastAsia="仿宋_GB2312" w:cs="Times New Roman"/>
          <w:spacing w:val="20"/>
          <w:kern w:val="0"/>
          <w:sz w:val="28"/>
          <w:szCs w:val="28"/>
          <w:u w:val="single"/>
        </w:rPr>
        <w:t xml:space="preserve">          </w:t>
      </w:r>
    </w:p>
    <w:p>
      <w:pPr>
        <w:spacing w:line="440" w:lineRule="exact"/>
        <w:ind w:firstLine="276" w:firstLineChars="100"/>
        <w:rPr>
          <w:rFonts w:hint="eastAsia" w:ascii="仿宋_GB2312" w:hAnsi="宋体" w:eastAsia="仿宋_GB2312" w:cs="Times New Roman"/>
          <w:spacing w:val="20"/>
          <w:kern w:val="0"/>
          <w:sz w:val="28"/>
          <w:szCs w:val="28"/>
          <w:u w:val="single"/>
        </w:rPr>
      </w:pPr>
      <w:r>
        <w:rPr>
          <w:rFonts w:hint="eastAsia" w:ascii="仿宋_GB2312" w:hAnsi="宋体" w:eastAsia="仿宋_GB2312" w:cs="宋体"/>
          <w:sz w:val="28"/>
          <w:szCs w:val="28"/>
        </w:rPr>
        <w:t xml:space="preserve">郑州师范学院党政办公室              </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 xml:space="preserve"> 20</w:t>
      </w:r>
      <w:r>
        <w:rPr>
          <w:rFonts w:hint="eastAsia" w:ascii="仿宋_GB2312" w:hAnsi="宋体" w:eastAsia="仿宋_GB2312" w:cs="宋体"/>
          <w:sz w:val="28"/>
          <w:szCs w:val="28"/>
          <w:lang w:val="en-US" w:eastAsia="zh-CN"/>
        </w:rPr>
        <w:t>20</w:t>
      </w:r>
      <w:r>
        <w:rPr>
          <w:rFonts w:hint="eastAsia" w:ascii="仿宋_GB2312" w:hAnsi="宋体" w:eastAsia="仿宋_GB2312" w:cs="宋体"/>
          <w:sz w:val="28"/>
          <w:szCs w:val="28"/>
        </w:rPr>
        <w:t>年</w:t>
      </w:r>
      <w:r>
        <w:rPr>
          <w:rFonts w:hint="eastAsia" w:ascii="仿宋_GB2312" w:hAnsi="宋体" w:eastAsia="仿宋_GB2312" w:cs="宋体"/>
          <w:sz w:val="28"/>
          <w:szCs w:val="28"/>
          <w:lang w:val="en-US" w:eastAsia="zh-CN"/>
        </w:rPr>
        <w:t>4</w:t>
      </w:r>
      <w:r>
        <w:rPr>
          <w:rFonts w:hint="eastAsia" w:ascii="仿宋_GB2312" w:hAnsi="宋体" w:eastAsia="仿宋_GB2312" w:cs="宋体"/>
          <w:sz w:val="28"/>
          <w:szCs w:val="28"/>
        </w:rPr>
        <w:t>月</w:t>
      </w:r>
      <w:r>
        <w:rPr>
          <w:rFonts w:hint="eastAsia" w:hAnsi="宋体" w:cs="宋体"/>
          <w:sz w:val="28"/>
          <w:szCs w:val="28"/>
          <w:lang w:val="en-US" w:eastAsia="zh-CN"/>
        </w:rPr>
        <w:t>20</w:t>
      </w:r>
      <w:r>
        <w:rPr>
          <w:rFonts w:hint="eastAsia" w:ascii="仿宋_GB2312" w:hAnsi="宋体" w:eastAsia="仿宋_GB2312" w:cs="宋体"/>
          <w:sz w:val="28"/>
          <w:szCs w:val="28"/>
        </w:rPr>
        <w:t>日印发</w:t>
      </w:r>
    </w:p>
    <w:p>
      <w:pPr>
        <w:spacing w:line="80" w:lineRule="exact"/>
        <w:ind w:right="-164" w:rightChars="-52"/>
        <w:rPr>
          <w:rFonts w:hint="eastAsia"/>
        </w:rPr>
      </w:pPr>
      <w:r>
        <w:rPr>
          <w:rFonts w:hint="eastAsia" w:ascii="仿宋_GB2312" w:hAnsi="宋体" w:eastAsia="仿宋_GB2312" w:cs="Times New Roman"/>
          <w:spacing w:val="20"/>
          <w:kern w:val="0"/>
          <w:sz w:val="32"/>
          <w:szCs w:val="32"/>
          <w:u w:val="single"/>
        </w:rPr>
        <w:t xml:space="preserve">                                              </w:t>
      </w:r>
    </w:p>
    <w:sectPr>
      <w:footerReference r:id="rId3" w:type="default"/>
      <w:footerReference r:id="rId4" w:type="even"/>
      <w:pgSz w:w="11906" w:h="16838"/>
      <w:pgMar w:top="2098" w:right="1474" w:bottom="1985" w:left="1588" w:header="851" w:footer="992"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engXian">
    <w:altName w:val="宋体"/>
    <w:panose1 w:val="00000000000000000000"/>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anziPen TC">
    <w:altName w:val="Arial Unicode MS"/>
    <w:panose1 w:val="03000300000000000000"/>
    <w:charset w:val="88"/>
    <w:family w:val="auto"/>
    <w:pitch w:val="default"/>
    <w:sig w:usb0="00000000" w:usb1="00000000" w:usb2="00000016" w:usb3="00000000" w:csb0="00140001" w:csb1="00000000"/>
  </w:font>
  <w:font w:name="Zapfino">
    <w:altName w:val="Mongolian Baiti"/>
    <w:panose1 w:val="03030300040707070C03"/>
    <w:charset w:val="00"/>
    <w:family w:val="auto"/>
    <w:pitch w:val="default"/>
    <w:sig w:usb0="00000000"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8"/>
    <w:family w:val="auto"/>
    <w:pitch w:val="default"/>
    <w:sig w:usb0="FFFFFFFF" w:usb1="E9FFFFFF" w:usb2="0000003F" w:usb3="00000000" w:csb0="603F01FF" w:csb1="FFFF0000"/>
  </w:font>
  <w:font w:name="Mongolian Baiti">
    <w:panose1 w:val="03000500000000000000"/>
    <w:charset w:val="00"/>
    <w:family w:val="auto"/>
    <w:pitch w:val="default"/>
    <w:sig w:usb0="80000023" w:usb1="00000000" w:usb2="00020000" w:usb3="00000000" w:csb0="00000001"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743" w:y="-498"/>
      <w:rPr>
        <w:rStyle w:val="9"/>
        <w:sz w:val="28"/>
        <w:szCs w:val="28"/>
      </w:rPr>
    </w:pPr>
    <w:r>
      <w:rPr>
        <w:rStyle w:val="9"/>
        <w:rFonts w:hint="eastAsia"/>
        <w:sz w:val="28"/>
        <w:szCs w:val="28"/>
      </w:rPr>
      <w:t>—</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1</w:t>
    </w:r>
    <w:r>
      <w:rPr>
        <w:sz w:val="28"/>
        <w:szCs w:val="28"/>
      </w:rPr>
      <w:fldChar w:fldCharType="end"/>
    </w:r>
    <w:r>
      <w:rPr>
        <w:rStyle w:val="9"/>
        <w:rFonts w:hint="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5C"/>
    <w:rsid w:val="00032EF9"/>
    <w:rsid w:val="0014765C"/>
    <w:rsid w:val="001F4BDF"/>
    <w:rsid w:val="00214800"/>
    <w:rsid w:val="00292191"/>
    <w:rsid w:val="002A3587"/>
    <w:rsid w:val="002B6E94"/>
    <w:rsid w:val="003355AE"/>
    <w:rsid w:val="003B0067"/>
    <w:rsid w:val="005202E2"/>
    <w:rsid w:val="00540970"/>
    <w:rsid w:val="00593327"/>
    <w:rsid w:val="005C1780"/>
    <w:rsid w:val="00650E19"/>
    <w:rsid w:val="00735F4B"/>
    <w:rsid w:val="007C5D3D"/>
    <w:rsid w:val="00855067"/>
    <w:rsid w:val="00B14911"/>
    <w:rsid w:val="00B2089F"/>
    <w:rsid w:val="00B557CB"/>
    <w:rsid w:val="00D531A3"/>
    <w:rsid w:val="00EE0378"/>
    <w:rsid w:val="01CD1C02"/>
    <w:rsid w:val="02026EF6"/>
    <w:rsid w:val="025B081A"/>
    <w:rsid w:val="04675A73"/>
    <w:rsid w:val="04B7688B"/>
    <w:rsid w:val="04EC6DBF"/>
    <w:rsid w:val="05263C36"/>
    <w:rsid w:val="058B3206"/>
    <w:rsid w:val="059C7C1D"/>
    <w:rsid w:val="05A34C7D"/>
    <w:rsid w:val="07A57116"/>
    <w:rsid w:val="08087FD8"/>
    <w:rsid w:val="08A51B32"/>
    <w:rsid w:val="08B26C0A"/>
    <w:rsid w:val="08C7793D"/>
    <w:rsid w:val="08FE0355"/>
    <w:rsid w:val="092705D5"/>
    <w:rsid w:val="09323BAC"/>
    <w:rsid w:val="0AC87914"/>
    <w:rsid w:val="0AF978FA"/>
    <w:rsid w:val="0AFE5222"/>
    <w:rsid w:val="0B516A98"/>
    <w:rsid w:val="0BE35405"/>
    <w:rsid w:val="0C1C3E53"/>
    <w:rsid w:val="0C3C690B"/>
    <w:rsid w:val="0C592368"/>
    <w:rsid w:val="0CD95325"/>
    <w:rsid w:val="0D333370"/>
    <w:rsid w:val="0D655CAD"/>
    <w:rsid w:val="0DB0217E"/>
    <w:rsid w:val="0DFB5115"/>
    <w:rsid w:val="0F2C7E62"/>
    <w:rsid w:val="0FD2659D"/>
    <w:rsid w:val="1178423D"/>
    <w:rsid w:val="12A26512"/>
    <w:rsid w:val="12FA4B7A"/>
    <w:rsid w:val="13935808"/>
    <w:rsid w:val="13CE0E60"/>
    <w:rsid w:val="13D93424"/>
    <w:rsid w:val="145A7BD1"/>
    <w:rsid w:val="154946CB"/>
    <w:rsid w:val="15587DB6"/>
    <w:rsid w:val="15850FB8"/>
    <w:rsid w:val="15CD193A"/>
    <w:rsid w:val="17303FDD"/>
    <w:rsid w:val="17533FB4"/>
    <w:rsid w:val="17D22347"/>
    <w:rsid w:val="194D73B4"/>
    <w:rsid w:val="19850A4A"/>
    <w:rsid w:val="19D71191"/>
    <w:rsid w:val="19FC2698"/>
    <w:rsid w:val="1A4B3ABC"/>
    <w:rsid w:val="1AAF4029"/>
    <w:rsid w:val="1B6B2BBE"/>
    <w:rsid w:val="1BAD0616"/>
    <w:rsid w:val="1C7D2676"/>
    <w:rsid w:val="1D674637"/>
    <w:rsid w:val="1D8B6813"/>
    <w:rsid w:val="1DC63C61"/>
    <w:rsid w:val="1DD25886"/>
    <w:rsid w:val="1E044EC7"/>
    <w:rsid w:val="1E1E07E4"/>
    <w:rsid w:val="1E5967BC"/>
    <w:rsid w:val="1E624C51"/>
    <w:rsid w:val="1F102EBE"/>
    <w:rsid w:val="1FBB7E10"/>
    <w:rsid w:val="1FEB7BFE"/>
    <w:rsid w:val="1FFD6F18"/>
    <w:rsid w:val="203E0268"/>
    <w:rsid w:val="2091196B"/>
    <w:rsid w:val="20B4369F"/>
    <w:rsid w:val="20D81819"/>
    <w:rsid w:val="20EB4441"/>
    <w:rsid w:val="21411EC7"/>
    <w:rsid w:val="214B1149"/>
    <w:rsid w:val="223433AA"/>
    <w:rsid w:val="2369326A"/>
    <w:rsid w:val="241A5D4E"/>
    <w:rsid w:val="2494210E"/>
    <w:rsid w:val="24960DE6"/>
    <w:rsid w:val="24B242CE"/>
    <w:rsid w:val="25407B62"/>
    <w:rsid w:val="25E16FD8"/>
    <w:rsid w:val="261221DB"/>
    <w:rsid w:val="26272258"/>
    <w:rsid w:val="26791D6D"/>
    <w:rsid w:val="274F07C2"/>
    <w:rsid w:val="285351FC"/>
    <w:rsid w:val="28E05623"/>
    <w:rsid w:val="28F64222"/>
    <w:rsid w:val="29AC771E"/>
    <w:rsid w:val="29EB7FF9"/>
    <w:rsid w:val="2A30441E"/>
    <w:rsid w:val="2A4149E3"/>
    <w:rsid w:val="2A6A4A38"/>
    <w:rsid w:val="2AC1787E"/>
    <w:rsid w:val="2BD6422A"/>
    <w:rsid w:val="2D23108B"/>
    <w:rsid w:val="2D680AE6"/>
    <w:rsid w:val="2EC80721"/>
    <w:rsid w:val="2FD61B81"/>
    <w:rsid w:val="315473B3"/>
    <w:rsid w:val="31E32622"/>
    <w:rsid w:val="32644D83"/>
    <w:rsid w:val="32B74239"/>
    <w:rsid w:val="33091EE9"/>
    <w:rsid w:val="35046C24"/>
    <w:rsid w:val="35AD3EAB"/>
    <w:rsid w:val="362B49BA"/>
    <w:rsid w:val="37754954"/>
    <w:rsid w:val="37A23249"/>
    <w:rsid w:val="37B73480"/>
    <w:rsid w:val="39287013"/>
    <w:rsid w:val="393B2218"/>
    <w:rsid w:val="3AD1328A"/>
    <w:rsid w:val="3B515498"/>
    <w:rsid w:val="3B695791"/>
    <w:rsid w:val="3B7D44B8"/>
    <w:rsid w:val="3BC13F2E"/>
    <w:rsid w:val="3BF6204C"/>
    <w:rsid w:val="3C1925D2"/>
    <w:rsid w:val="3C45600B"/>
    <w:rsid w:val="3D1074D0"/>
    <w:rsid w:val="3EF538FF"/>
    <w:rsid w:val="3F1C2542"/>
    <w:rsid w:val="3F9C39E4"/>
    <w:rsid w:val="3FAB006A"/>
    <w:rsid w:val="3FEB51E3"/>
    <w:rsid w:val="40530AC9"/>
    <w:rsid w:val="405709D6"/>
    <w:rsid w:val="409E5932"/>
    <w:rsid w:val="410E46D9"/>
    <w:rsid w:val="41EC0AA3"/>
    <w:rsid w:val="42095445"/>
    <w:rsid w:val="422664E7"/>
    <w:rsid w:val="42334D73"/>
    <w:rsid w:val="433C0BFB"/>
    <w:rsid w:val="4370769F"/>
    <w:rsid w:val="437F2D6C"/>
    <w:rsid w:val="44295A74"/>
    <w:rsid w:val="447458CF"/>
    <w:rsid w:val="44770D0E"/>
    <w:rsid w:val="45765F97"/>
    <w:rsid w:val="4581154D"/>
    <w:rsid w:val="45920443"/>
    <w:rsid w:val="463A19C2"/>
    <w:rsid w:val="469A180B"/>
    <w:rsid w:val="46CB04E9"/>
    <w:rsid w:val="472B3499"/>
    <w:rsid w:val="473C2A39"/>
    <w:rsid w:val="47874F8E"/>
    <w:rsid w:val="489F54B7"/>
    <w:rsid w:val="4958394A"/>
    <w:rsid w:val="4966262C"/>
    <w:rsid w:val="4A9345CF"/>
    <w:rsid w:val="4AEA7252"/>
    <w:rsid w:val="4AEB52AE"/>
    <w:rsid w:val="4B377EC6"/>
    <w:rsid w:val="4C6D7721"/>
    <w:rsid w:val="4C842246"/>
    <w:rsid w:val="4CBF49EC"/>
    <w:rsid w:val="4CEA5154"/>
    <w:rsid w:val="4D5E2806"/>
    <w:rsid w:val="4D6C76D3"/>
    <w:rsid w:val="4E2944A7"/>
    <w:rsid w:val="4E322517"/>
    <w:rsid w:val="4E3F7C56"/>
    <w:rsid w:val="4E861948"/>
    <w:rsid w:val="4EF1585D"/>
    <w:rsid w:val="4F941B11"/>
    <w:rsid w:val="4F947ACD"/>
    <w:rsid w:val="4FA021A4"/>
    <w:rsid w:val="500029C5"/>
    <w:rsid w:val="50CD6370"/>
    <w:rsid w:val="52AB158C"/>
    <w:rsid w:val="53070D29"/>
    <w:rsid w:val="542B15C7"/>
    <w:rsid w:val="54514CA5"/>
    <w:rsid w:val="5477025A"/>
    <w:rsid w:val="5481233E"/>
    <w:rsid w:val="54A61868"/>
    <w:rsid w:val="54E2646C"/>
    <w:rsid w:val="550165BB"/>
    <w:rsid w:val="55593312"/>
    <w:rsid w:val="55831937"/>
    <w:rsid w:val="5585758A"/>
    <w:rsid w:val="566E5E24"/>
    <w:rsid w:val="568269FA"/>
    <w:rsid w:val="56BD5C45"/>
    <w:rsid w:val="58317DC5"/>
    <w:rsid w:val="58D06E2C"/>
    <w:rsid w:val="58FB6FC0"/>
    <w:rsid w:val="5981135B"/>
    <w:rsid w:val="599F7F90"/>
    <w:rsid w:val="59E65E23"/>
    <w:rsid w:val="5B2531C3"/>
    <w:rsid w:val="5B924263"/>
    <w:rsid w:val="5BA367D4"/>
    <w:rsid w:val="5C874F33"/>
    <w:rsid w:val="5CF62BD4"/>
    <w:rsid w:val="5D045DF4"/>
    <w:rsid w:val="5D160DB6"/>
    <w:rsid w:val="5DF7236E"/>
    <w:rsid w:val="5E5565FE"/>
    <w:rsid w:val="5ECB5553"/>
    <w:rsid w:val="5F2E725C"/>
    <w:rsid w:val="5F831232"/>
    <w:rsid w:val="5FE60FF4"/>
    <w:rsid w:val="60A6031E"/>
    <w:rsid w:val="61DF0CF1"/>
    <w:rsid w:val="620F346A"/>
    <w:rsid w:val="62471A1E"/>
    <w:rsid w:val="62D965C2"/>
    <w:rsid w:val="62F66D01"/>
    <w:rsid w:val="63BF00B8"/>
    <w:rsid w:val="6472588D"/>
    <w:rsid w:val="647C0481"/>
    <w:rsid w:val="64834379"/>
    <w:rsid w:val="64E31144"/>
    <w:rsid w:val="65535AC6"/>
    <w:rsid w:val="659C3DE4"/>
    <w:rsid w:val="675B0323"/>
    <w:rsid w:val="678374DB"/>
    <w:rsid w:val="67D01B9C"/>
    <w:rsid w:val="685F11FA"/>
    <w:rsid w:val="688E4077"/>
    <w:rsid w:val="691B5A60"/>
    <w:rsid w:val="69A3342C"/>
    <w:rsid w:val="6A0B4160"/>
    <w:rsid w:val="6A152AE5"/>
    <w:rsid w:val="6A330211"/>
    <w:rsid w:val="6A345C0E"/>
    <w:rsid w:val="6B3F4410"/>
    <w:rsid w:val="6B5D4A40"/>
    <w:rsid w:val="6BB75D5A"/>
    <w:rsid w:val="6BBB437E"/>
    <w:rsid w:val="6BC8338C"/>
    <w:rsid w:val="6C6176C1"/>
    <w:rsid w:val="6C785CB1"/>
    <w:rsid w:val="6CA31374"/>
    <w:rsid w:val="6CEC1A77"/>
    <w:rsid w:val="6DE57320"/>
    <w:rsid w:val="6E1A557E"/>
    <w:rsid w:val="6E4F02DB"/>
    <w:rsid w:val="6EF24015"/>
    <w:rsid w:val="70834710"/>
    <w:rsid w:val="70E20B31"/>
    <w:rsid w:val="726C243D"/>
    <w:rsid w:val="732D4B00"/>
    <w:rsid w:val="73B577B5"/>
    <w:rsid w:val="741A489E"/>
    <w:rsid w:val="74B55442"/>
    <w:rsid w:val="74CE2BD2"/>
    <w:rsid w:val="759624E9"/>
    <w:rsid w:val="75A6760F"/>
    <w:rsid w:val="76567475"/>
    <w:rsid w:val="768C0595"/>
    <w:rsid w:val="76B67E6B"/>
    <w:rsid w:val="786B6F62"/>
    <w:rsid w:val="78EF14B1"/>
    <w:rsid w:val="79203961"/>
    <w:rsid w:val="79997A9A"/>
    <w:rsid w:val="7A780AA9"/>
    <w:rsid w:val="7AF8428D"/>
    <w:rsid w:val="7B4A0357"/>
    <w:rsid w:val="7BDB167D"/>
    <w:rsid w:val="7F177DED"/>
    <w:rsid w:val="7F735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jc w:val="left"/>
    </w:pPr>
    <w:rPr>
      <w:rFonts w:ascii="Arial Unicode MS" w:hAnsi="Arial Unicode MS" w:eastAsia="Arial Unicode MS" w:cs="Arial Unicode MS"/>
      <w:color w:val="000000"/>
      <w:kern w:val="0"/>
      <w:sz w:val="24"/>
      <w:lang w:val="zh-CN"/>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character" w:styleId="10">
    <w:name w:val="Hyperlink"/>
    <w:basedOn w:val="8"/>
    <w:semiHidden/>
    <w:unhideWhenUsed/>
    <w:qFormat/>
    <w:uiPriority w:val="99"/>
    <w:rPr>
      <w:color w:val="0000FF"/>
      <w:u w:val="single"/>
    </w:rPr>
  </w:style>
  <w:style w:type="character" w:customStyle="1" w:styleId="11">
    <w:name w:val="标题 1字符"/>
    <w:basedOn w:val="8"/>
    <w:link w:val="3"/>
    <w:qFormat/>
    <w:uiPriority w:val="9"/>
    <w:rPr>
      <w:rFonts w:ascii="宋体" w:hAnsi="宋体" w:eastAsia="仿宋_GB2312" w:cs="宋体"/>
      <w:b/>
      <w:bCs/>
      <w:kern w:val="36"/>
      <w:sz w:val="48"/>
      <w:szCs w:val="48"/>
    </w:rPr>
  </w:style>
  <w:style w:type="character" w:customStyle="1" w:styleId="12">
    <w:name w:val="页脚字符"/>
    <w:basedOn w:val="8"/>
    <w:link w:val="5"/>
    <w:qFormat/>
    <w:uiPriority w:val="0"/>
    <w:rPr>
      <w:rFonts w:ascii="仿宋_GB2312" w:hAnsi="Times New Roman" w:eastAsia="仿宋_GB2312" w:cs="Times New Roman"/>
      <w:sz w:val="18"/>
      <w:szCs w:val="18"/>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4">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7301</Words>
  <Characters>7382</Characters>
  <Lines>54</Lines>
  <Paragraphs>15</Paragraphs>
  <TotalTime>3</TotalTime>
  <ScaleCrop>false</ScaleCrop>
  <LinksUpToDate>false</LinksUpToDate>
  <CharactersWithSpaces>7384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2020-03-10T06:53:00Z</dcterms:created>
  <dc:creator>Microsoft Office 用户</dc:creator>
  <cp:lastModifiedBy>hp</cp:lastModifiedBy>
  <cp:lastPrinted>2020-04-20T08:13:07Z</cp:lastPrinted>
  <dcterms:modified xsi:type="dcterms:W3CDTF">2020-04-20T08:13:27Z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