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ind w:firstLine="883" w:firstLineChars="200"/>
        <w:jc w:val="center"/>
        <w:rPr>
          <w:rFonts w:ascii="宋体" w:hAnsi="宋体"/>
          <w:b/>
          <w:sz w:val="44"/>
          <w:szCs w:val="44"/>
        </w:rPr>
      </w:pPr>
      <w:bookmarkStart w:id="1" w:name="_GoBack"/>
      <w:bookmarkEnd w:id="1"/>
      <w:r>
        <w:rPr>
          <w:rFonts w:hint="eastAsia" w:ascii="宋体" w:hAnsi="宋体"/>
          <w:b/>
          <w:sz w:val="44"/>
          <w:szCs w:val="44"/>
        </w:rPr>
        <w:t>201</w:t>
      </w:r>
      <w:r>
        <w:rPr>
          <w:rFonts w:ascii="宋体" w:hAnsi="宋体"/>
          <w:b/>
          <w:sz w:val="44"/>
          <w:szCs w:val="44"/>
        </w:rPr>
        <w:t>8</w:t>
      </w:r>
      <w:r>
        <w:rPr>
          <w:rFonts w:hint="eastAsia" w:ascii="宋体" w:hAnsi="宋体"/>
          <w:b/>
          <w:sz w:val="44"/>
          <w:szCs w:val="44"/>
        </w:rPr>
        <w:t>-201</w:t>
      </w:r>
      <w:r>
        <w:rPr>
          <w:rFonts w:ascii="宋体" w:hAnsi="宋体"/>
          <w:b/>
          <w:sz w:val="44"/>
          <w:szCs w:val="44"/>
        </w:rPr>
        <w:t>9</w:t>
      </w:r>
      <w:r>
        <w:rPr>
          <w:rFonts w:hint="eastAsia" w:ascii="宋体" w:hAnsi="宋体"/>
          <w:b/>
          <w:sz w:val="44"/>
          <w:szCs w:val="44"/>
        </w:rPr>
        <w:t>学年下学期卫生督查简报（四）</w:t>
      </w:r>
    </w:p>
    <w:p>
      <w:pPr>
        <w:spacing w:afterLines="50" w:line="240" w:lineRule="auto"/>
        <w:ind w:firstLine="560" w:firstLineChars="200"/>
        <w:jc w:val="left"/>
        <w:rPr>
          <w:rFonts w:ascii="宋体" w:hAnsi="宋体"/>
          <w:b/>
          <w:sz w:val="44"/>
          <w:szCs w:val="44"/>
        </w:rPr>
      </w:pPr>
      <w:r>
        <w:rPr>
          <w:rFonts w:hint="eastAsia" w:ascii="仿宋_GB2312" w:hAnsi="宋体" w:eastAsia="仿宋_GB2312" w:cs="宋体"/>
          <w:kern w:val="0"/>
          <w:sz w:val="28"/>
          <w:szCs w:val="28"/>
        </w:rPr>
        <w:t>2019年6月1日—6月30日，学校文明督导组对我校两个校区的校园和办公室卫生进行了督查</w:t>
      </w:r>
      <w:r>
        <w:rPr>
          <w:rFonts w:ascii="仿宋_GB2312" w:hAnsi="宋体" w:eastAsia="仿宋_GB2312" w:cs="宋体"/>
          <w:kern w:val="0"/>
          <w:sz w:val="28"/>
          <w:szCs w:val="28"/>
        </w:rPr>
        <w:t>，</w:t>
      </w:r>
      <w:r>
        <w:rPr>
          <w:rFonts w:hint="eastAsia" w:ascii="仿宋_GB2312" w:hAnsi="宋体" w:eastAsia="仿宋_GB2312" w:cs="宋体"/>
          <w:kern w:val="0"/>
          <w:sz w:val="28"/>
          <w:szCs w:val="28"/>
        </w:rPr>
        <w:t>卫生整体情况良好，以下是具体督查情况，请有问题的部门抓紧时间整改：</w:t>
      </w:r>
    </w:p>
    <w:tbl>
      <w:tblPr>
        <w:tblStyle w:val="4"/>
        <w:tblpPr w:leftFromText="180" w:rightFromText="180" w:vertAnchor="text" w:horzAnchor="margin" w:tblpXSpec="center" w:tblpY="1635"/>
        <w:tblOverlap w:val="never"/>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572"/>
        <w:gridCol w:w="947"/>
        <w:gridCol w:w="6448"/>
        <w:gridCol w:w="3690"/>
        <w:gridCol w:w="615"/>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shd w:val="clear" w:color="auto" w:fill="auto"/>
            <w:vAlign w:val="center"/>
          </w:tcPr>
          <w:p>
            <w:pPr>
              <w:widowControl/>
              <w:spacing w:line="240" w:lineRule="auto"/>
              <w:jc w:val="center"/>
              <w:rPr>
                <w:rFonts w:ascii="华文楷体" w:hAnsi="华文楷体" w:eastAsia="华文楷体" w:cs="华文楷体"/>
                <w:b/>
                <w:bCs/>
                <w:kern w:val="0"/>
                <w:szCs w:val="21"/>
              </w:rPr>
            </w:pPr>
            <w:bookmarkStart w:id="0" w:name="OLE_LINK1"/>
            <w:r>
              <w:rPr>
                <w:rFonts w:hint="eastAsia" w:ascii="华文楷体" w:hAnsi="华文楷体" w:eastAsia="华文楷体" w:cs="华文楷体"/>
                <w:b/>
                <w:bCs/>
                <w:kern w:val="0"/>
                <w:szCs w:val="21"/>
              </w:rPr>
              <w:t>序号</w:t>
            </w:r>
          </w:p>
        </w:tc>
        <w:tc>
          <w:tcPr>
            <w:tcW w:w="1572" w:type="dxa"/>
            <w:shd w:val="clear" w:color="auto" w:fill="auto"/>
            <w:vAlign w:val="center"/>
          </w:tcPr>
          <w:p>
            <w:pPr>
              <w:widowControl/>
              <w:spacing w:line="240" w:lineRule="auto"/>
              <w:jc w:val="center"/>
              <w:rPr>
                <w:rFonts w:ascii="华文楷体" w:hAnsi="华文楷体" w:eastAsia="华文楷体" w:cs="华文楷体"/>
                <w:b/>
                <w:bCs/>
                <w:kern w:val="0"/>
                <w:szCs w:val="21"/>
              </w:rPr>
            </w:pPr>
            <w:r>
              <w:rPr>
                <w:rFonts w:hint="eastAsia" w:ascii="华文楷体" w:hAnsi="华文楷体" w:eastAsia="华文楷体" w:cs="华文楷体"/>
                <w:b/>
                <w:bCs/>
                <w:kern w:val="0"/>
                <w:szCs w:val="21"/>
              </w:rPr>
              <w:t>部门名称</w:t>
            </w:r>
          </w:p>
        </w:tc>
        <w:tc>
          <w:tcPr>
            <w:tcW w:w="7395" w:type="dxa"/>
            <w:gridSpan w:val="2"/>
            <w:shd w:val="clear" w:color="auto" w:fill="auto"/>
            <w:vAlign w:val="center"/>
          </w:tcPr>
          <w:p>
            <w:pPr>
              <w:widowControl/>
              <w:spacing w:line="240" w:lineRule="auto"/>
              <w:jc w:val="center"/>
              <w:rPr>
                <w:rFonts w:ascii="华文楷体" w:hAnsi="华文楷体" w:eastAsia="华文楷体" w:cs="华文楷体"/>
                <w:b/>
                <w:bCs/>
                <w:kern w:val="0"/>
                <w:szCs w:val="21"/>
              </w:rPr>
            </w:pPr>
            <w:r>
              <w:rPr>
                <w:rFonts w:hint="eastAsia" w:ascii="华文楷体" w:hAnsi="华文楷体" w:eastAsia="华文楷体" w:cs="华文楷体"/>
                <w:b/>
                <w:bCs/>
                <w:kern w:val="0"/>
                <w:szCs w:val="21"/>
              </w:rPr>
              <w:t>负责区域</w:t>
            </w:r>
          </w:p>
        </w:tc>
        <w:tc>
          <w:tcPr>
            <w:tcW w:w="3690" w:type="dxa"/>
            <w:shd w:val="clear" w:color="auto" w:fill="auto"/>
            <w:vAlign w:val="center"/>
          </w:tcPr>
          <w:p>
            <w:pPr>
              <w:widowControl/>
              <w:spacing w:line="240" w:lineRule="auto"/>
              <w:jc w:val="center"/>
              <w:rPr>
                <w:rFonts w:ascii="华文楷体" w:hAnsi="华文楷体" w:eastAsia="华文楷体" w:cs="华文楷体"/>
                <w:b/>
                <w:bCs/>
                <w:kern w:val="0"/>
                <w:szCs w:val="21"/>
              </w:rPr>
            </w:pPr>
            <w:r>
              <w:rPr>
                <w:rFonts w:hint="eastAsia" w:ascii="华文楷体" w:hAnsi="华文楷体" w:eastAsia="华文楷体" w:cs="华文楷体"/>
                <w:b/>
                <w:bCs/>
                <w:kern w:val="0"/>
                <w:szCs w:val="21"/>
              </w:rPr>
              <w:t>检查情况</w:t>
            </w:r>
          </w:p>
        </w:tc>
        <w:tc>
          <w:tcPr>
            <w:tcW w:w="615" w:type="dxa"/>
            <w:shd w:val="clear" w:color="auto" w:fill="auto"/>
            <w:vAlign w:val="center"/>
          </w:tcPr>
          <w:p>
            <w:pPr>
              <w:widowControl/>
              <w:spacing w:line="240" w:lineRule="auto"/>
              <w:jc w:val="center"/>
              <w:rPr>
                <w:rFonts w:ascii="华文楷体" w:hAnsi="华文楷体" w:eastAsia="华文楷体" w:cs="华文楷体"/>
                <w:b/>
                <w:bCs/>
                <w:kern w:val="0"/>
                <w:szCs w:val="21"/>
              </w:rPr>
            </w:pPr>
            <w:r>
              <w:rPr>
                <w:rFonts w:hint="eastAsia" w:ascii="华文楷体" w:hAnsi="华文楷体" w:eastAsia="华文楷体" w:cs="华文楷体"/>
                <w:b/>
                <w:bCs/>
                <w:kern w:val="0"/>
                <w:szCs w:val="21"/>
              </w:rPr>
              <w:t>分数</w:t>
            </w:r>
          </w:p>
        </w:tc>
        <w:tc>
          <w:tcPr>
            <w:tcW w:w="607" w:type="dxa"/>
            <w:shd w:val="clear" w:color="auto" w:fill="auto"/>
            <w:vAlign w:val="center"/>
          </w:tcPr>
          <w:p>
            <w:pPr>
              <w:widowControl/>
              <w:spacing w:line="240" w:lineRule="auto"/>
              <w:jc w:val="center"/>
              <w:rPr>
                <w:rFonts w:ascii="华文楷体" w:hAnsi="华文楷体" w:eastAsia="华文楷体" w:cs="华文楷体"/>
                <w:b/>
                <w:bCs/>
                <w:kern w:val="0"/>
                <w:szCs w:val="21"/>
              </w:rPr>
            </w:pPr>
            <w:r>
              <w:rPr>
                <w:rFonts w:hint="eastAsia" w:ascii="华文楷体" w:hAnsi="华文楷体" w:eastAsia="华文楷体" w:cs="华文楷体"/>
                <w:b/>
                <w:bCs/>
                <w:kern w:val="0"/>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shd w:val="clear" w:color="auto" w:fill="auto"/>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w:t>
            </w:r>
          </w:p>
        </w:tc>
        <w:tc>
          <w:tcPr>
            <w:tcW w:w="1572"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机关党总支</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备注：负责卫生区域和工会一致</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kern w:val="0"/>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综合楼1015</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shd w:val="clear" w:color="auto" w:fill="auto"/>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w:t>
            </w:r>
          </w:p>
        </w:tc>
        <w:tc>
          <w:tcPr>
            <w:tcW w:w="1572"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老干部处</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北门广场（含圆形花坛）</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kern w:val="0"/>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综合楼1217、1215</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教育科学</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研究所</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综合楼东门门前道路（含东侧绿化区域）</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shd w:val="clear" w:color="auto" w:fill="auto"/>
            <w:vAlign w:val="center"/>
          </w:tcPr>
          <w:p>
            <w:pPr>
              <w:widowControl/>
              <w:spacing w:line="240" w:lineRule="auto"/>
              <w:jc w:val="center"/>
              <w:rPr>
                <w:rFonts w:ascii="华文楷体" w:hAnsi="华文楷体" w:eastAsia="华文楷体" w:cs="华文楷体"/>
                <w:szCs w:val="21"/>
              </w:rPr>
            </w:pPr>
          </w:p>
        </w:tc>
        <w:tc>
          <w:tcPr>
            <w:tcW w:w="1572" w:type="dxa"/>
            <w:vMerge w:val="continue"/>
            <w:shd w:val="clear" w:color="auto" w:fill="auto"/>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尚志楼二期603</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shd w:val="clear" w:color="auto" w:fill="auto"/>
            <w:vAlign w:val="center"/>
          </w:tcPr>
          <w:p>
            <w:pPr>
              <w:widowControl/>
              <w:spacing w:line="240" w:lineRule="auto"/>
              <w:jc w:val="center"/>
              <w:rPr>
                <w:rFonts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思政部</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文汇楼东侧中行东路（含两侧绿化带）</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p>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文博楼C522</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保卫处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西校区南大门门岗及门前报亭、西门前广场，东校区西门至圆形花坛处(含圆形花坛)，东校区南门前广场</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后勤楼</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shd w:val="clear" w:color="auto" w:fill="auto"/>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6</w:t>
            </w:r>
          </w:p>
        </w:tc>
        <w:tc>
          <w:tcPr>
            <w:tcW w:w="1572"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审计处</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综合楼地下停车场东侧绿化带至嵩山学堂门口（参考示意图）</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kern w:val="0"/>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综合楼1112、1111</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生物工程研究所</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西校区西操场北角、南北树木至配电房，西到围墙</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kern w:val="0"/>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操场西北角看台后203</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8</w:t>
            </w:r>
          </w:p>
        </w:tc>
        <w:tc>
          <w:tcPr>
            <w:tcW w:w="1572"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教师教育技能综合训练中心</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尚远楼门前的硬化路面。西至绿化带边缘，东至绿化带边缘</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c>
          <w:tcPr>
            <w:tcW w:w="607"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w:t>
            </w:r>
          </w:p>
        </w:tc>
        <w:tc>
          <w:tcPr>
            <w:tcW w:w="1572"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教师质量检测与评估中心</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文汇楼D区南侧绿化带及西侧绿化带（含西侧通向综合教学楼小路至门口）</w:t>
            </w:r>
          </w:p>
        </w:tc>
        <w:tc>
          <w:tcPr>
            <w:tcW w:w="3690"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c>
          <w:tcPr>
            <w:tcW w:w="607"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10</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统战部</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综合楼地下停车场东入口及东侧绿化带</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综合楼911、920、921</w:t>
            </w:r>
          </w:p>
        </w:tc>
        <w:tc>
          <w:tcPr>
            <w:tcW w:w="3690"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11</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网络管理</w:t>
            </w:r>
          </w:p>
          <w:p>
            <w:pPr>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中心</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翰墨湖北面草坪</w:t>
            </w:r>
          </w:p>
        </w:tc>
        <w:tc>
          <w:tcPr>
            <w:tcW w:w="3690"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综合楼1301、1302</w:t>
            </w:r>
          </w:p>
        </w:tc>
        <w:tc>
          <w:tcPr>
            <w:tcW w:w="3690" w:type="dxa"/>
            <w:shd w:val="clear" w:color="auto" w:fill="auto"/>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12</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成人教育</w:t>
            </w:r>
          </w:p>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学院</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文汇楼前广场硬化路面南至下层台阶（含台阶），北至上层台阶前（含花坛）</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综合楼1315、1318、1319、1320</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继续教育</w:t>
            </w:r>
          </w:p>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图书馆西侧笃行路（含绿化带）</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崇贤楼110、112、114、116、115、105</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14</w:t>
            </w:r>
          </w:p>
        </w:tc>
        <w:tc>
          <w:tcPr>
            <w:tcW w:w="1572"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自然博物馆</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自然博物馆后硬化地区</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自然博物馆1楼、2楼楼梯处</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15</w:t>
            </w:r>
          </w:p>
        </w:tc>
        <w:tc>
          <w:tcPr>
            <w:tcW w:w="1572"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纪委</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综合楼地下停车场西入口（含东侧绿化带）及嵩山学堂广场硬化路面</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综合楼1011、1012、1017、1018</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16</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图书馆</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图书馆北门周边道路及绿化(含停车场)及硬化路面，北至图书馆后树林，南至喷泉池前路面黑色大理石交接处，东西至道路</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图书馆903</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校医院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校医院小楼南小院</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18</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组织部</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嵩山学堂西侧第一条灰色地砖外侧北至中行北路，南至综合楼前灰色地砖外圈（含绿化带）</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综合楼909、910</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19</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招生办公室</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东校区中行北路至嵩山学堂门口（含两侧绿化带）</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49</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文博楼A103、A104</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20</w:t>
            </w:r>
          </w:p>
        </w:tc>
        <w:tc>
          <w:tcPr>
            <w:tcW w:w="1572"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党政办</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综合楼南门前内圈灰色地砖至综合楼后地下停车场入口硬化路面及绿化带</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综合楼902、905、925、1102、1103、1105、1106</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21</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资产经营有限公司</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创业孵化基地南广场硬化区域至停车场（不包含停车场），东校区教师餐厅天井小院绿化及硬化区域</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22</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公共艺术部</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文汇楼D区南侧绿化带及西侧绿化带（含西侧通向综合教学楼小路至门口）</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综合楼1312、1313</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生命科学学院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崇智楼以北区域至天鹅湖绿化带至下沉广场，东至教学楼中间道路（含道路），及天鹅湖北侧小道以南草坪，包含崇智楼、崇信楼北侧道路及绿化带</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崇智楼4301、4302、4304、4306、4308、4310、4312、4314、4316、4318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教室卫生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崇智楼四阶四、4101、4103、4207、4509</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29</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24</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就业指导</w:t>
            </w:r>
          </w:p>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中心</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东校区创业孵化基地前停车场</w:t>
            </w:r>
          </w:p>
        </w:tc>
        <w:tc>
          <w:tcPr>
            <w:tcW w:w="3690" w:type="dxa"/>
            <w:vAlign w:val="center"/>
          </w:tcPr>
          <w:p>
            <w:pPr>
              <w:widowControl/>
              <w:spacing w:line="240" w:lineRule="auto"/>
              <w:jc w:val="center"/>
              <w:rPr>
                <w:rFonts w:ascii="华文楷体" w:hAnsi="华文楷体" w:eastAsia="华文楷体" w:cs="仿宋_GB2312"/>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体育学院1楼</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25</w:t>
            </w:r>
          </w:p>
        </w:tc>
        <w:tc>
          <w:tcPr>
            <w:tcW w:w="1572"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数学与统计</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崇信楼周围绿化带，西至教学楼中间道路（不含道路），东至笃行道（不含冬青带），图书馆南广场东侧，北起喷泉北部路面黑色大理石交接处，南至明德路台阶以上(含草坪不包含干道）</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spacing w:line="240" w:lineRule="auto"/>
              <w:jc w:val="center"/>
              <w:textAlignment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崇信楼5105、5106、5200、5205、5206、5207、5306、5307</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崇信楼5401、5405、5202、5204</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26</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财务处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嵩山学堂西侧小广场及楼梯二层（含周围花坛）和广场西侧草坪（含道路）</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有烟头(-0.2)</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49.8</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综合楼1212、1213</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国有资产</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管理处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嵩山学堂西侧小广场和人工湖之间的绿地（参考示意图）</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地面有垃圾(-0.5)</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49.5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综合楼1201、1202、1203、1216</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28</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学报编辑部</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中行西路东北侧草坪</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地面有垃圾(-0.5)</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49.5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综合楼1306、1307、1321、1322</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29</w:t>
            </w:r>
          </w:p>
        </w:tc>
        <w:tc>
          <w:tcPr>
            <w:tcW w:w="1572"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外事处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东校区北篮球场（台阶上道路及绿化区域）</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塑料瓶子(-0.5)</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综合楼1106、1109、1117、1221</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30</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实习实训基地</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翰墨湖西南角绿化区域及旁边小广场</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地面有烟头(-0.5)</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49.5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综合楼1308、1309</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31</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信息科学与技术学院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西校区崇仁楼南边南草坪绿化区域至明德路，西侧网球场和西校门入口南广场一半区域（包含台阶下道路）</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崇仁楼1114、1105、1407、1517、1510、1508、1500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仿宋_GB2312"/>
                <w:szCs w:val="21"/>
              </w:rPr>
              <w:t>1113桌面物品摆放不整齐，柜顶脏(-0.5)</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西校区一号楼1阶2教室、1401、1402、1404</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32</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物理与电子工程学院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西校区崇礼楼南北小院及崇仁楼后连廊(不含东部主干道冬青带），图书馆南广场西侧，北起喷泉北部路面黑色大理石交接处，南至明德路台阶以上(含草坪不包含干道）</w:t>
            </w:r>
          </w:p>
        </w:tc>
        <w:tc>
          <w:tcPr>
            <w:tcW w:w="3690" w:type="dxa"/>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cs="华文楷体"/>
                <w:kern w:val="0"/>
                <w:szCs w:val="21"/>
              </w:rPr>
              <w:t>良好</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崇礼楼3302、3303、3304、3305、3306、3307、3308、3309、3310、3311、3312</w:t>
            </w:r>
          </w:p>
        </w:tc>
        <w:tc>
          <w:tcPr>
            <w:tcW w:w="3690" w:type="dxa"/>
            <w:vAlign w:val="center"/>
          </w:tcPr>
          <w:p>
            <w:pPr>
              <w:widowControl/>
              <w:spacing w:line="240" w:lineRule="auto"/>
              <w:jc w:val="center"/>
              <w:rPr>
                <w:rFonts w:hint="eastAsia" w:ascii="华文楷体" w:hAnsi="华文楷体" w:eastAsia="华文楷体" w:cs="华文楷体"/>
                <w:szCs w:val="21"/>
              </w:rPr>
            </w:pPr>
            <w:r>
              <w:rPr>
                <w:rFonts w:hint="eastAsia" w:ascii="华文楷体" w:hAnsi="华文楷体" w:eastAsia="华文楷体" w:cs="华文楷体"/>
                <w:kern w:val="0"/>
                <w:szCs w:val="21"/>
              </w:rPr>
              <w:t>3311柜顶脏(-0.5)</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3401、3402、3403、3404、3405、崇智楼四阶三</w:t>
            </w:r>
          </w:p>
        </w:tc>
        <w:tc>
          <w:tcPr>
            <w:tcW w:w="3690" w:type="dxa"/>
            <w:vAlign w:val="center"/>
          </w:tcPr>
          <w:p>
            <w:pPr>
              <w:widowControl/>
              <w:spacing w:line="240" w:lineRule="auto"/>
              <w:jc w:val="center"/>
              <w:rPr>
                <w:rFonts w:hint="eastAsia"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美术学院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崇贤楼周围绿化带，美术展览馆周围绿化带及怡馨公寓3号楼周围道路以上硬化及绿化带（不包含周边道路）</w:t>
            </w:r>
          </w:p>
        </w:tc>
        <w:tc>
          <w:tcPr>
            <w:tcW w:w="3690" w:type="dxa"/>
            <w:vAlign w:val="center"/>
          </w:tcPr>
          <w:p>
            <w:pPr>
              <w:widowControl/>
              <w:spacing w:line="240" w:lineRule="auto"/>
              <w:jc w:val="center"/>
              <w:rPr>
                <w:rFonts w:ascii="华文楷体" w:hAnsi="华文楷体" w:eastAsia="华文楷体" w:cs="仿宋_GB2312"/>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崇贤楼 205、204、202、216、321、312、311、306、405</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10号楼3109、3110、3111、3113</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szCs w:val="21"/>
              </w:rPr>
              <w:t>6月11日（检查）12:30  教室3110地面有纸。(-0.5)</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29.5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34</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经济与管理学院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文博楼周围绿化区域及对应中行西路（参考示意图）</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地面有烟头(-0.5)</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34.5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文博楼C417、C517—C520、C530</w:t>
            </w:r>
          </w:p>
        </w:tc>
        <w:tc>
          <w:tcPr>
            <w:tcW w:w="3690" w:type="dxa"/>
            <w:vAlign w:val="center"/>
          </w:tcPr>
          <w:p>
            <w:pPr>
              <w:widowControl/>
              <w:spacing w:line="240" w:lineRule="auto"/>
              <w:jc w:val="center"/>
              <w:rPr>
                <w:rFonts w:hint="eastAsia" w:ascii="华文楷体" w:hAnsi="华文楷体" w:eastAsia="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文博楼C208、</w:t>
            </w:r>
            <w:r>
              <w:rPr>
                <w:rFonts w:hint="eastAsia" w:ascii="华文楷体" w:hAnsi="华文楷体" w:eastAsia="华文楷体" w:cs="华文楷体"/>
                <w:szCs w:val="21"/>
              </w:rPr>
              <w:t>C522</w:t>
            </w:r>
          </w:p>
        </w:tc>
        <w:tc>
          <w:tcPr>
            <w:tcW w:w="3690" w:type="dxa"/>
            <w:vAlign w:val="center"/>
          </w:tcPr>
          <w:p>
            <w:pPr>
              <w:widowControl/>
              <w:spacing w:line="240" w:lineRule="auto"/>
              <w:jc w:val="center"/>
              <w:rPr>
                <w:rFonts w:hint="eastAsia" w:ascii="华文楷体" w:hAnsi="华文楷体" w:eastAsia="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35</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人事处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综合楼西侧人工湖及周边绿化带（含楼梯）</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szCs w:val="21"/>
              </w:rPr>
              <w:t>人工湖周边绿化带有垃圾(-1)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综合楼1002、1003、1005、1020、1021</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36</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工会</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嵩山学堂西侧第一条灰色地砖内侧（含绿化带）</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草丛有垃圾(-1)</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49</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综合楼1013.1016.</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档案馆</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创业孵化基地西部区域，北至郑州银行(不含中行东路）</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szCs w:val="21"/>
              </w:rPr>
              <w:t>创业孵化基地西部区域垃圾若干、烟头(-1)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综合楼（办）801、802，（对外窗口）803、806</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38</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语委办</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怡馨园餐厅门前道路，北至怡馨公寓前道路，南至尚远楼前明是路</w:t>
            </w:r>
          </w:p>
        </w:tc>
        <w:tc>
          <w:tcPr>
            <w:tcW w:w="3690" w:type="dxa"/>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szCs w:val="21"/>
              </w:rPr>
              <w:t>靠近文汇楼西门口南侧绿化带烟头(-1)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综合楼1310、1311</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39</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初等教育</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怡馨公寓1号楼和2号楼周边道路及部分绿化区（不包含怡馨公寓1号楼和2号楼南北方向冬青带内绿化），7号楼报告厅周围绿化和硬化区域，7号报告厅东部乒乓球场南至小篮球场，7号楼至怡馨公寓3号楼台阶下道路区域（包含原有校北门道路）（参考示意图）</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尚德楼7207、7310、7411、7409、7413-7415、7417、7511</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仿宋_GB2312"/>
                <w:szCs w:val="21"/>
              </w:rPr>
              <w:t>7409未开门；7511未开门；7413、7417物品摆放杂乱；7415柜顶有灰。(-1)</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尚德楼</w:t>
            </w:r>
            <w:r>
              <w:rPr>
                <w:rFonts w:hint="eastAsia" w:ascii="华文楷体" w:hAnsi="华文楷体" w:eastAsia="华文楷体" w:cs="华文楷体"/>
                <w:szCs w:val="21"/>
              </w:rPr>
              <w:t>7203、7208、7403、7404、7408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40</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教育科学</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szCs w:val="21"/>
              </w:rPr>
              <w:t>尚远楼周围硬化路面和绿化带，北至怡馨公寓前道路，南至尚远楼前明是路。（不包括尚远楼门前硬化路面）</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尚志楼803、804、805、806、801、802、808、809、810、811、812、813、814、815、816</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803、804良好；805未开门；806地面不干净，柜顶有灰。(-1)</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崇仁楼1阶梯2教室、尚志楼幼儿区域活动实训室 707 奥尔夫音乐实训室 813 蒙台梭利实训室 、7109电钢教室</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41</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中原文化</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研究所</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翰墨湖西侧绿化带（小瀑布北侧，含花坛）</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szCs w:val="21"/>
              </w:rPr>
              <w:t>东侧绿化带塑料袋(-1)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49</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文质楼B417</w:t>
            </w:r>
          </w:p>
        </w:tc>
        <w:tc>
          <w:tcPr>
            <w:tcW w:w="3690" w:type="dxa"/>
            <w:vAlign w:val="center"/>
          </w:tcPr>
          <w:p>
            <w:pPr>
              <w:widowControl/>
              <w:spacing w:line="240" w:lineRule="auto"/>
              <w:jc w:val="center"/>
              <w:rPr>
                <w:rFonts w:hint="eastAsia"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42</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化学化工</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西校区崇义楼南北小院及崇义楼后连廊（含知行路及绿化带)至西侧篮球场围墙</w:t>
            </w:r>
          </w:p>
        </w:tc>
        <w:tc>
          <w:tcPr>
            <w:tcW w:w="3690" w:type="dxa"/>
            <w:vAlign w:val="center"/>
          </w:tcPr>
          <w:p>
            <w:pPr>
              <w:widowControl/>
              <w:spacing w:line="240" w:lineRule="auto"/>
              <w:jc w:val="center"/>
              <w:rPr>
                <w:rFonts w:ascii="华文楷体" w:hAnsi="华文楷体" w:eastAsia="华文楷体" w:cs="仿宋_GB2312"/>
                <w:szCs w:val="21"/>
              </w:rPr>
            </w:pPr>
            <w:r>
              <w:rPr>
                <w:rFonts w:hint="eastAsia" w:ascii="华文楷体" w:hAnsi="华文楷体" w:eastAsia="华文楷体"/>
                <w:szCs w:val="21"/>
              </w:rPr>
              <w:t>6月4日（检查）13:10 地面有5个烟头(-0.5)</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34.5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崇义楼2314、2312、2308、2302、2304、2402、2418、2510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四号楼4阶2、2106、2108、2110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ascii="华文楷体" w:hAnsi="华文楷体" w:eastAsia="华文楷体"/>
                <w:szCs w:val="21"/>
              </w:rPr>
              <w:t>6月4</w:t>
            </w:r>
            <w:r>
              <w:rPr>
                <w:rFonts w:hint="eastAsia" w:ascii="华文楷体" w:hAnsi="华文楷体" w:eastAsia="华文楷体"/>
                <w:szCs w:val="21"/>
              </w:rPr>
              <w:t>日</w:t>
            </w:r>
            <w:r>
              <w:rPr>
                <w:rFonts w:ascii="华文楷体" w:hAnsi="华文楷体" w:eastAsia="华文楷体"/>
                <w:szCs w:val="21"/>
              </w:rPr>
              <w:t>（抽查） 12</w:t>
            </w:r>
            <w:r>
              <w:rPr>
                <w:rFonts w:hint="eastAsia" w:ascii="华文楷体" w:hAnsi="华文楷体" w:eastAsia="华文楷体"/>
                <w:szCs w:val="21"/>
              </w:rPr>
              <w:t>:</w:t>
            </w:r>
            <w:r>
              <w:rPr>
                <w:rFonts w:ascii="华文楷体" w:hAnsi="华文楷体" w:eastAsia="华文楷体"/>
                <w:szCs w:val="21"/>
              </w:rPr>
              <w:t>20 地面有垃圾</w:t>
            </w:r>
            <w:r>
              <w:rPr>
                <w:rFonts w:hint="eastAsia" w:ascii="华文楷体" w:hAnsi="华文楷体" w:eastAsia="华文楷体"/>
                <w:szCs w:val="21"/>
              </w:rPr>
              <w:t>(-0.5)</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29.5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政治与公共管理学院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东校区翰墨湖东侧草坪及道路（参考示意图）</w:t>
            </w:r>
          </w:p>
        </w:tc>
        <w:tc>
          <w:tcPr>
            <w:tcW w:w="3690" w:type="dxa"/>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szCs w:val="21"/>
              </w:rPr>
              <w:t>湖东侧草坪零食袋(-1)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34</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文博楼A401、A405、A404、A406、A407</w:t>
            </w:r>
          </w:p>
        </w:tc>
        <w:tc>
          <w:tcPr>
            <w:tcW w:w="3690" w:type="dxa"/>
            <w:vAlign w:val="center"/>
          </w:tcPr>
          <w:p>
            <w:pPr>
              <w:widowControl/>
              <w:spacing w:line="240" w:lineRule="auto"/>
              <w:jc w:val="center"/>
              <w:rPr>
                <w:rFonts w:ascii="华文楷体" w:hAnsi="华文楷体" w:eastAsia="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教室卫生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文博楼B408、B411、C418、C420</w:t>
            </w:r>
          </w:p>
        </w:tc>
        <w:tc>
          <w:tcPr>
            <w:tcW w:w="3690" w:type="dxa"/>
            <w:vAlign w:val="center"/>
          </w:tcPr>
          <w:p>
            <w:pPr>
              <w:widowControl/>
              <w:spacing w:line="240" w:lineRule="auto"/>
              <w:jc w:val="center"/>
              <w:rPr>
                <w:rFonts w:ascii="华文楷体" w:hAnsi="华文楷体" w:eastAsia="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44</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特殊教育</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特教楼前硬化路面及明是路，东至笃行路</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尚志楼902、903、904、906、908、910、911、912、915、905</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902柜子顶有黑灰、903整合较好，整洁干净、911、915桌面摆放微乱；904柜顶有浮灰、906、912未开门；(-1)</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34</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实验室：特教楼12404、12710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45</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传播学院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文质楼周围绿化带及对应道路（参考示意图）</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theme="minorEastAsia"/>
                <w:szCs w:val="21"/>
              </w:rPr>
              <w:t>垃圾桶旁有垃圾(-1)</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34</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文质楼A102、A103、A104</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实验室：文质楼C213（两间）、C214（两间）、C215、B313、</w:t>
            </w:r>
            <w:r>
              <w:rPr>
                <w:rFonts w:hint="eastAsia" w:ascii="华文楷体" w:hAnsi="华文楷体" w:eastAsia="华文楷体" w:cs="华文楷体"/>
                <w:szCs w:val="21"/>
              </w:rPr>
              <w:t>C320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46</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3S研究所</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翰墨湖南侧绿化带（参考示意图）</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杂草堆积，亭子旁有垃圾(-1.5)</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48.5</w:t>
            </w:r>
          </w:p>
        </w:tc>
        <w:tc>
          <w:tcPr>
            <w:tcW w:w="607"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hint="eastAsia"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综合楼3楼西北角</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widowControl/>
              <w:spacing w:line="240" w:lineRule="auto"/>
              <w:jc w:val="center"/>
              <w:rPr>
                <w:rFonts w:hint="eastAsia" w:ascii="华文楷体" w:hAnsi="华文楷体" w:eastAsia="华文楷体" w:cs="华文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发展规划处</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文汇楼前广场硬化路面南至中行南路，北至台阶前（含花坛）</w:t>
            </w:r>
          </w:p>
        </w:tc>
        <w:tc>
          <w:tcPr>
            <w:tcW w:w="3690"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有烟头、</w:t>
            </w:r>
            <w:r>
              <w:rPr>
                <w:rFonts w:hint="eastAsia" w:ascii="华文楷体" w:hAnsi="华文楷体" w:eastAsia="华文楷体" w:cstheme="minorEastAsia"/>
                <w:szCs w:val="21"/>
              </w:rPr>
              <w:t>地面有卫生纸(-1.5)</w:t>
            </w:r>
          </w:p>
        </w:tc>
        <w:tc>
          <w:tcPr>
            <w:tcW w:w="615"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48.5</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综合楼1007、1008、1019</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48</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科研处</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东校区西门北侧中行西路（含两侧绿化带）</w:t>
            </w:r>
          </w:p>
        </w:tc>
        <w:tc>
          <w:tcPr>
            <w:tcW w:w="3690"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有烟头、</w:t>
            </w:r>
            <w:r>
              <w:rPr>
                <w:rFonts w:hint="eastAsia" w:ascii="华文楷体" w:hAnsi="华文楷体" w:eastAsia="华文楷体" w:cstheme="minorEastAsia"/>
                <w:szCs w:val="21"/>
              </w:rPr>
              <w:t>地面有烟盒(-1.5)</w:t>
            </w:r>
          </w:p>
        </w:tc>
        <w:tc>
          <w:tcPr>
            <w:tcW w:w="615"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48.5</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综合楼1113、1115、1116、1110</w:t>
            </w:r>
          </w:p>
        </w:tc>
        <w:tc>
          <w:tcPr>
            <w:tcW w:w="3690"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49</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文学院</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荟萃山及周围道路（参考示意图）</w:t>
            </w:r>
          </w:p>
        </w:tc>
        <w:tc>
          <w:tcPr>
            <w:tcW w:w="3690" w:type="dxa"/>
            <w:shd w:val="clear" w:color="auto" w:fill="auto"/>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szCs w:val="21"/>
              </w:rPr>
              <w:t>周围干道垃圾、</w:t>
            </w:r>
            <w:r>
              <w:rPr>
                <w:rFonts w:hint="eastAsia" w:ascii="华文楷体" w:hAnsi="华文楷体" w:eastAsia="华文楷体" w:cstheme="minorEastAsia"/>
                <w:szCs w:val="21"/>
              </w:rPr>
              <w:t>草丛中有垃圾(-1.5)</w:t>
            </w:r>
          </w:p>
        </w:tc>
        <w:tc>
          <w:tcPr>
            <w:tcW w:w="615"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33.5</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文质楼C117、C118、C119、C421</w:t>
            </w:r>
          </w:p>
        </w:tc>
        <w:tc>
          <w:tcPr>
            <w:tcW w:w="3690"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文质楼C321、C322、C115、B411</w:t>
            </w:r>
          </w:p>
        </w:tc>
        <w:tc>
          <w:tcPr>
            <w:tcW w:w="3690"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50</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外国语学院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南大门西侧山坡及对应中行南路，南大门内小广场（参考示意图）</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theme="minorEastAsia"/>
                <w:szCs w:val="21"/>
              </w:rPr>
              <w:t>草丛与垃圾桶旁有垃圾(-2)</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33</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文质楼A111、A112、A201、A202、A301</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文质楼A404、A405、A406、A407、A408</w:t>
            </w:r>
          </w:p>
        </w:tc>
        <w:tc>
          <w:tcPr>
            <w:tcW w:w="3690" w:type="dxa"/>
            <w:vAlign w:val="center"/>
          </w:tcPr>
          <w:p>
            <w:pPr>
              <w:widowControl/>
              <w:spacing w:line="240" w:lineRule="auto"/>
              <w:jc w:val="center"/>
              <w:rPr>
                <w:rFonts w:ascii="华文楷体" w:hAnsi="华文楷体" w:eastAsia="华文楷体" w:cs="仿宋_GB2312"/>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51</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体育学院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东校区综合训练馆，体育场及周边道路、绿化带（参考示意图）</w:t>
            </w:r>
          </w:p>
        </w:tc>
        <w:tc>
          <w:tcPr>
            <w:tcW w:w="3690" w:type="dxa"/>
            <w:vAlign w:val="center"/>
          </w:tcPr>
          <w:p>
            <w:pPr>
              <w:spacing w:line="240" w:lineRule="auto"/>
              <w:jc w:val="center"/>
              <w:rPr>
                <w:rFonts w:ascii="华文楷体" w:hAnsi="华文楷体" w:eastAsia="华文楷体"/>
                <w:szCs w:val="21"/>
              </w:rPr>
            </w:pPr>
            <w:r>
              <w:rPr>
                <w:rFonts w:hint="eastAsia" w:ascii="华文楷体" w:hAnsi="华文楷体" w:eastAsia="华文楷体" w:cstheme="minorEastAsia"/>
                <w:szCs w:val="21"/>
              </w:rPr>
              <w:t>多处地面有垃圾(-2)</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cstheme="minorEastAsia"/>
                <w:szCs w:val="21"/>
              </w:rPr>
              <w:t>33</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综合体育场T202、T301、T305</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综合体育场T102、T103</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52</w:t>
            </w:r>
          </w:p>
        </w:tc>
        <w:tc>
          <w:tcPr>
            <w:tcW w:w="1572"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地理与旅游</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西校区足球场及周边绿化区域及知行路部分区域（参考示意图）</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崇德楼7709、7611、7610、7711、7712、7704、7705、7706、7708、7710</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7610柜顶有灰；7611未开门；7709没开门；7711未开门；7712物品摆放较乱，柜顶有浮灰。(-2)</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33</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崇德楼7704、7705、7706、7708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53</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教务处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文汇楼B区和C区四周绿化带(含天井区域)</w:t>
            </w:r>
          </w:p>
        </w:tc>
        <w:tc>
          <w:tcPr>
            <w:tcW w:w="3690" w:type="dxa"/>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szCs w:val="21"/>
              </w:rPr>
              <w:t>文汇楼东侧门口垃圾、烟盒、烟头(-2)</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48</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综合楼（办）1207、1208、1209、1120、1121、1126 （仓库）1119、1218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54</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后勤处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西校区餐厅及四周至校医院北墙，东校区国培楼周边及区域内道路，东校区停车场南侧花园</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有碎纸片、烟头、</w:t>
            </w:r>
            <w:r>
              <w:rPr>
                <w:rFonts w:hint="eastAsia" w:ascii="华文楷体" w:hAnsi="华文楷体" w:eastAsia="华文楷体" w:cstheme="minorEastAsia"/>
                <w:szCs w:val="21"/>
              </w:rPr>
              <w:t>地面有纸屑(-2)</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48</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后勤楼301—308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55</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历史文化</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东校区西门圆形花坛至北门硬化道路（含绿化带区、花坛）</w:t>
            </w:r>
          </w:p>
        </w:tc>
        <w:tc>
          <w:tcPr>
            <w:tcW w:w="3690" w:type="dxa"/>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szCs w:val="21"/>
              </w:rPr>
              <w:t>杂物、垃圾(-2)</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33</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文博楼A303、A304、C318</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综合楼A102、A104、A105、A106、A107</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ascii="华文楷体" w:hAnsi="华文楷体" w:eastAsia="华文楷体"/>
                <w:szCs w:val="21"/>
              </w:rPr>
              <w:t>6月4</w:t>
            </w:r>
            <w:r>
              <w:rPr>
                <w:rFonts w:hint="eastAsia" w:ascii="华文楷体" w:hAnsi="华文楷体" w:eastAsia="华文楷体"/>
                <w:szCs w:val="21"/>
              </w:rPr>
              <w:t>日</w:t>
            </w:r>
            <w:r>
              <w:rPr>
                <w:rFonts w:ascii="华文楷体" w:hAnsi="华文楷体" w:eastAsia="华文楷体"/>
                <w:szCs w:val="21"/>
              </w:rPr>
              <w:t>（抽查） 12</w:t>
            </w:r>
            <w:r>
              <w:rPr>
                <w:rFonts w:hint="eastAsia" w:ascii="华文楷体" w:hAnsi="华文楷体" w:eastAsia="华文楷体"/>
                <w:szCs w:val="21"/>
              </w:rPr>
              <w:t>:</w:t>
            </w:r>
            <w:r>
              <w:rPr>
                <w:rFonts w:ascii="华文楷体" w:hAnsi="华文楷体" w:eastAsia="华文楷体"/>
                <w:szCs w:val="21"/>
              </w:rPr>
              <w:t>30</w:t>
            </w:r>
            <w:r>
              <w:rPr>
                <w:rFonts w:hint="eastAsia" w:ascii="华文楷体" w:hAnsi="华文楷体" w:eastAsia="华文楷体"/>
                <w:szCs w:val="21"/>
              </w:rPr>
              <w:t xml:space="preserve">  </w:t>
            </w:r>
            <w:r>
              <w:rPr>
                <w:rFonts w:ascii="华文楷体" w:hAnsi="华文楷体" w:eastAsia="华文楷体"/>
                <w:szCs w:val="21"/>
              </w:rPr>
              <w:t>A105桌子上有纸片 A102有棉签</w:t>
            </w:r>
            <w:r>
              <w:rPr>
                <w:rFonts w:hint="eastAsia" w:ascii="华文楷体" w:hAnsi="华文楷体" w:eastAsia="华文楷体"/>
                <w:szCs w:val="21"/>
              </w:rPr>
              <w:t>(-0.5)</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29.5</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56</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基建处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东西校区待建区域</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绿化带有许多垃圾袋、</w:t>
            </w:r>
            <w:r>
              <w:rPr>
                <w:rFonts w:hint="eastAsia" w:ascii="华文楷体" w:hAnsi="华文楷体" w:eastAsia="华文楷体" w:cstheme="minorEastAsia"/>
                <w:szCs w:val="21"/>
              </w:rPr>
              <w:t>地面有塑料袋(-3)</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47</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综合楼1303、1305、1325、1326、1327</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57</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学生处</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西校区怡馨公寓1号楼、2号楼周围冬青带至宿舍楼以内区域，不含中间停车区域，东校区所有宿舍楼及周边区域</w:t>
            </w:r>
          </w:p>
        </w:tc>
        <w:tc>
          <w:tcPr>
            <w:tcW w:w="3690"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4号楼南侧烟盒、垃圾、塑料袋、</w:t>
            </w:r>
            <w:r>
              <w:rPr>
                <w:rFonts w:hint="eastAsia" w:ascii="华文楷体" w:hAnsi="华文楷体" w:eastAsia="华文楷体" w:cstheme="minorEastAsia"/>
                <w:szCs w:val="21"/>
              </w:rPr>
              <w:t>有纸屑和塑料袋(-3)</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47</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文博楼A202、A203、A204、A206</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58</w:t>
            </w:r>
          </w:p>
        </w:tc>
        <w:tc>
          <w:tcPr>
            <w:tcW w:w="1572"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宣传部</w:t>
            </w: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综合楼前灰色地砖以南至楼梯下</w:t>
            </w:r>
          </w:p>
        </w:tc>
        <w:tc>
          <w:tcPr>
            <w:tcW w:w="3690" w:type="dxa"/>
            <w:shd w:val="clear" w:color="auto" w:fill="auto"/>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szCs w:val="21"/>
              </w:rPr>
              <w:t>有垃圾、</w:t>
            </w:r>
            <w:r>
              <w:rPr>
                <w:rFonts w:hint="eastAsia" w:ascii="华文楷体" w:hAnsi="华文楷体" w:eastAsia="华文楷体" w:cstheme="minorEastAsia"/>
                <w:szCs w:val="21"/>
              </w:rPr>
              <w:t>垃圾桶旁有垃圾(-3)</w:t>
            </w:r>
          </w:p>
        </w:tc>
        <w:tc>
          <w:tcPr>
            <w:tcW w:w="615" w:type="dxa"/>
            <w:shd w:val="clear" w:color="auto" w:fill="auto"/>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47</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szCs w:val="21"/>
              </w:rPr>
            </w:pPr>
          </w:p>
        </w:tc>
        <w:tc>
          <w:tcPr>
            <w:tcW w:w="947"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综合楼910、916、917、918、919、1219、1220</w:t>
            </w:r>
          </w:p>
        </w:tc>
        <w:tc>
          <w:tcPr>
            <w:tcW w:w="3690"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shd w:val="clear" w:color="auto" w:fill="auto"/>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59</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团委</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中行西路东南侧小山坡（含山坡东侧地面道路）</w:t>
            </w:r>
          </w:p>
        </w:tc>
        <w:tc>
          <w:tcPr>
            <w:tcW w:w="3690" w:type="dxa"/>
            <w:vAlign w:val="center"/>
          </w:tcPr>
          <w:p>
            <w:pPr>
              <w:spacing w:line="240" w:lineRule="auto"/>
              <w:jc w:val="center"/>
              <w:rPr>
                <w:rFonts w:ascii="华文楷体" w:hAnsi="华文楷体" w:eastAsia="华文楷体" w:cs="仿宋_GB2312"/>
                <w:szCs w:val="21"/>
              </w:rPr>
            </w:pPr>
            <w:r>
              <w:rPr>
                <w:rFonts w:hint="eastAsia" w:ascii="华文楷体" w:hAnsi="华文楷体" w:eastAsia="华文楷体"/>
                <w:szCs w:val="21"/>
              </w:rPr>
              <w:t>草坪上垃圾多(-3)</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47</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文博楼A502、503、504、505、506、507</w:t>
            </w:r>
          </w:p>
        </w:tc>
        <w:tc>
          <w:tcPr>
            <w:tcW w:w="3690"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60</w:t>
            </w:r>
          </w:p>
        </w:tc>
        <w:tc>
          <w:tcPr>
            <w:tcW w:w="1572" w:type="dxa"/>
            <w:vMerge w:val="restart"/>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校史馆</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东校区中行东路，北至学生餐厅门口，南至停车场（含西侧绿化带）</w:t>
            </w:r>
          </w:p>
        </w:tc>
        <w:tc>
          <w:tcPr>
            <w:tcW w:w="3690" w:type="dxa"/>
            <w:vAlign w:val="center"/>
          </w:tcPr>
          <w:p>
            <w:pPr>
              <w:spacing w:line="240" w:lineRule="auto"/>
              <w:jc w:val="center"/>
              <w:rPr>
                <w:rFonts w:ascii="华文楷体" w:hAnsi="华文楷体" w:eastAsia="华文楷体"/>
                <w:szCs w:val="21"/>
              </w:rPr>
            </w:pPr>
            <w:r>
              <w:rPr>
                <w:rFonts w:hint="eastAsia" w:ascii="华文楷体" w:hAnsi="华文楷体" w:eastAsia="华文楷体"/>
                <w:szCs w:val="21"/>
              </w:rPr>
              <w:t>东校区东干道纸片几片、饮料瓶</w:t>
            </w:r>
          </w:p>
          <w:p>
            <w:pPr>
              <w:spacing w:line="240" w:lineRule="auto"/>
              <w:jc w:val="center"/>
              <w:rPr>
                <w:rFonts w:ascii="华文楷体" w:hAnsi="华文楷体" w:eastAsia="华文楷体"/>
                <w:szCs w:val="21"/>
              </w:rPr>
            </w:pPr>
            <w:r>
              <w:rPr>
                <w:rFonts w:hint="eastAsia" w:ascii="华文楷体" w:hAnsi="华文楷体" w:eastAsia="华文楷体" w:cstheme="minorEastAsia"/>
                <w:szCs w:val="21"/>
              </w:rPr>
              <w:t>地面有塑料袋、垃圾(-4)</w:t>
            </w:r>
          </w:p>
        </w:tc>
        <w:tc>
          <w:tcPr>
            <w:tcW w:w="615" w:type="dxa"/>
            <w:vAlign w:val="center"/>
          </w:tcPr>
          <w:p>
            <w:pPr>
              <w:spacing w:line="240" w:lineRule="auto"/>
              <w:jc w:val="center"/>
              <w:rPr>
                <w:rFonts w:ascii="华文楷体" w:hAnsi="华文楷体" w:eastAsia="华文楷体" w:cs="华文楷体"/>
                <w:kern w:val="0"/>
                <w:szCs w:val="21"/>
              </w:rPr>
            </w:pPr>
            <w:r>
              <w:rPr>
                <w:rFonts w:hint="eastAsia" w:ascii="华文楷体" w:hAnsi="华文楷体" w:eastAsia="华文楷体"/>
                <w:szCs w:val="21"/>
              </w:rPr>
              <w:t>46</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spacing w:line="240" w:lineRule="auto"/>
              <w:jc w:val="center"/>
              <w:rPr>
                <w:rFonts w:ascii="华文楷体" w:hAnsi="华文楷体" w:eastAsia="华文楷体" w:cs="华文楷体"/>
                <w:szCs w:val="21"/>
              </w:rPr>
            </w:pPr>
          </w:p>
        </w:tc>
        <w:tc>
          <w:tcPr>
            <w:tcW w:w="1572" w:type="dxa"/>
            <w:vMerge w:val="continue"/>
            <w:vAlign w:val="center"/>
          </w:tcPr>
          <w:p>
            <w:pPr>
              <w:widowControl/>
              <w:spacing w:line="240" w:lineRule="auto"/>
              <w:jc w:val="center"/>
              <w:rPr>
                <w:rFonts w:ascii="华文楷体" w:hAnsi="华文楷体" w:eastAsia="华文楷体" w:cs="华文楷体"/>
                <w:kern w:val="0"/>
                <w:szCs w:val="21"/>
              </w:rPr>
            </w:pPr>
          </w:p>
        </w:tc>
        <w:tc>
          <w:tcPr>
            <w:tcW w:w="947"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文博楼C512</w:t>
            </w:r>
          </w:p>
        </w:tc>
        <w:tc>
          <w:tcPr>
            <w:tcW w:w="3690"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50</w:t>
            </w:r>
          </w:p>
        </w:tc>
        <w:tc>
          <w:tcPr>
            <w:tcW w:w="607" w:type="dxa"/>
            <w:vMerge w:val="continue"/>
            <w:vAlign w:val="center"/>
          </w:tcPr>
          <w:p>
            <w:pPr>
              <w:spacing w:line="240" w:lineRule="auto"/>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61</w:t>
            </w:r>
          </w:p>
        </w:tc>
        <w:tc>
          <w:tcPr>
            <w:tcW w:w="1572" w:type="dxa"/>
            <w:vMerge w:val="restart"/>
            <w:vAlign w:val="center"/>
          </w:tcPr>
          <w:p>
            <w:pPr>
              <w:widowControl/>
              <w:spacing w:line="240" w:lineRule="auto"/>
              <w:jc w:val="center"/>
              <w:rPr>
                <w:rFonts w:hint="eastAsia" w:ascii="华文楷体" w:hAnsi="华文楷体" w:eastAsia="华文楷体" w:cs="华文楷体"/>
                <w:kern w:val="0"/>
                <w:szCs w:val="21"/>
              </w:rPr>
            </w:pPr>
            <w:r>
              <w:rPr>
                <w:rFonts w:hint="eastAsia" w:ascii="华文楷体" w:hAnsi="华文楷体" w:eastAsia="华文楷体" w:cs="华文楷体"/>
                <w:kern w:val="0"/>
                <w:szCs w:val="21"/>
              </w:rPr>
              <w:t>音乐与舞蹈</w:t>
            </w:r>
          </w:p>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学院</w:t>
            </w:r>
          </w:p>
        </w:tc>
        <w:tc>
          <w:tcPr>
            <w:tcW w:w="947"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校园公共卫生</w:t>
            </w:r>
          </w:p>
        </w:tc>
        <w:tc>
          <w:tcPr>
            <w:tcW w:w="6448"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尚韵楼车辆通行道以东绿化区域及下沉广场（含东部下层花坛），尚韵楼南部天鹅湖绿化带及天鹅湖周边部分道路</w:t>
            </w:r>
          </w:p>
        </w:tc>
        <w:tc>
          <w:tcPr>
            <w:tcW w:w="3690" w:type="dxa"/>
            <w:vAlign w:val="center"/>
          </w:tcPr>
          <w:p>
            <w:pPr>
              <w:widowControl/>
              <w:spacing w:line="240" w:lineRule="auto"/>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spacing w:line="240" w:lineRule="auto"/>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restart"/>
            <w:vAlign w:val="center"/>
          </w:tcPr>
          <w:p>
            <w:pPr>
              <w:spacing w:line="240" w:lineRule="auto"/>
              <w:jc w:val="center"/>
              <w:rPr>
                <w:rFonts w:ascii="华文楷体" w:hAnsi="华文楷体" w:eastAsia="华文楷体" w:cs="华文楷体"/>
                <w:szCs w:val="21"/>
              </w:rPr>
            </w:pPr>
            <w:r>
              <w:rPr>
                <w:rFonts w:hint="eastAsia" w:ascii="华文楷体" w:hAnsi="华文楷体" w:eastAsia="华文楷体" w:cs="华文楷体"/>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jc w:val="center"/>
              <w:rPr>
                <w:rFonts w:ascii="华文楷体" w:hAnsi="华文楷体" w:eastAsia="华文楷体" w:cs="华文楷体"/>
                <w:szCs w:val="21"/>
              </w:rPr>
            </w:pPr>
          </w:p>
        </w:tc>
        <w:tc>
          <w:tcPr>
            <w:tcW w:w="1572" w:type="dxa"/>
            <w:vMerge w:val="continue"/>
            <w:vAlign w:val="center"/>
          </w:tcPr>
          <w:p>
            <w:pPr>
              <w:widowControl/>
              <w:jc w:val="center"/>
              <w:rPr>
                <w:rFonts w:ascii="华文楷体" w:hAnsi="华文楷体" w:eastAsia="华文楷体" w:cs="华文楷体"/>
                <w:kern w:val="0"/>
                <w:szCs w:val="21"/>
              </w:rPr>
            </w:pPr>
          </w:p>
        </w:tc>
        <w:tc>
          <w:tcPr>
            <w:tcW w:w="947"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办公室卫生</w:t>
            </w:r>
          </w:p>
        </w:tc>
        <w:tc>
          <w:tcPr>
            <w:tcW w:w="6448"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尚韵楼A103、A208、A209、A210、A211、A212、A214、A215、A216、A317、A316、A313、A314、A311、A309</w:t>
            </w:r>
          </w:p>
        </w:tc>
        <w:tc>
          <w:tcPr>
            <w:tcW w:w="3690" w:type="dxa"/>
            <w:vAlign w:val="center"/>
          </w:tcPr>
          <w:p>
            <w:pPr>
              <w:widowControl/>
              <w:jc w:val="center"/>
              <w:rPr>
                <w:rFonts w:ascii="华文楷体" w:hAnsi="华文楷体" w:eastAsia="华文楷体" w:cs="华文楷体"/>
                <w:szCs w:val="21"/>
              </w:rPr>
            </w:pPr>
            <w:r>
              <w:rPr>
                <w:rFonts w:hint="eastAsia" w:ascii="华文楷体" w:hAnsi="华文楷体" w:eastAsia="华文楷体" w:cs="华文楷体"/>
                <w:kern w:val="0"/>
                <w:szCs w:val="21"/>
              </w:rPr>
              <w:t>良好</w:t>
            </w:r>
          </w:p>
        </w:tc>
        <w:tc>
          <w:tcPr>
            <w:tcW w:w="615"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35</w:t>
            </w:r>
          </w:p>
        </w:tc>
        <w:tc>
          <w:tcPr>
            <w:tcW w:w="607" w:type="dxa"/>
            <w:vMerge w:val="continue"/>
            <w:vAlign w:val="center"/>
          </w:tcPr>
          <w:p>
            <w:pPr>
              <w:jc w:val="center"/>
              <w:rPr>
                <w:rFonts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0" w:type="dxa"/>
            <w:vMerge w:val="continue"/>
            <w:vAlign w:val="center"/>
          </w:tcPr>
          <w:p>
            <w:pPr>
              <w:widowControl/>
              <w:jc w:val="center"/>
              <w:rPr>
                <w:rFonts w:ascii="华文楷体" w:hAnsi="华文楷体" w:eastAsia="华文楷体" w:cs="华文楷体"/>
                <w:szCs w:val="21"/>
              </w:rPr>
            </w:pPr>
          </w:p>
        </w:tc>
        <w:tc>
          <w:tcPr>
            <w:tcW w:w="1572" w:type="dxa"/>
            <w:vMerge w:val="continue"/>
            <w:vAlign w:val="center"/>
          </w:tcPr>
          <w:p>
            <w:pPr>
              <w:widowControl/>
              <w:jc w:val="center"/>
              <w:rPr>
                <w:rFonts w:ascii="华文楷体" w:hAnsi="华文楷体" w:eastAsia="华文楷体" w:cs="华文楷体"/>
                <w:kern w:val="0"/>
                <w:szCs w:val="21"/>
              </w:rPr>
            </w:pPr>
          </w:p>
        </w:tc>
        <w:tc>
          <w:tcPr>
            <w:tcW w:w="947"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教室</w:t>
            </w:r>
          </w:p>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卫生</w:t>
            </w:r>
          </w:p>
        </w:tc>
        <w:tc>
          <w:tcPr>
            <w:tcW w:w="6448"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尚韵楼6101、6102、崇尚楼老舞蹈厅</w:t>
            </w:r>
          </w:p>
        </w:tc>
        <w:tc>
          <w:tcPr>
            <w:tcW w:w="3690" w:type="dxa"/>
            <w:vAlign w:val="center"/>
          </w:tcPr>
          <w:p>
            <w:pPr>
              <w:spacing w:after="160"/>
              <w:jc w:val="center"/>
              <w:rPr>
                <w:rFonts w:ascii="华文楷体" w:hAnsi="华文楷体" w:eastAsia="华文楷体"/>
                <w:szCs w:val="21"/>
              </w:rPr>
            </w:pPr>
            <w:r>
              <w:rPr>
                <w:rFonts w:hint="eastAsia" w:ascii="华文楷体" w:hAnsi="华文楷体" w:eastAsia="华文楷体"/>
                <w:szCs w:val="21"/>
              </w:rPr>
              <w:t>6月4日（检查）18:30 无接待 D203有大片纸片、瓶子(-2)</w:t>
            </w:r>
            <w:r>
              <w:rPr>
                <w:rFonts w:ascii="华文楷体" w:hAnsi="华文楷体" w:eastAsia="华文楷体"/>
                <w:szCs w:val="21"/>
              </w:rPr>
              <w:t>6月11日（检查）6</w:t>
            </w:r>
            <w:r>
              <w:rPr>
                <w:rFonts w:hint="eastAsia" w:ascii="华文楷体" w:hAnsi="华文楷体" w:eastAsia="华文楷体"/>
                <w:szCs w:val="21"/>
              </w:rPr>
              <w:t>:</w:t>
            </w:r>
            <w:r>
              <w:rPr>
                <w:rFonts w:ascii="华文楷体" w:hAnsi="华文楷体" w:eastAsia="华文楷体"/>
                <w:szCs w:val="21"/>
              </w:rPr>
              <w:t>30 教室D203、D201没打扫</w:t>
            </w:r>
            <w:r>
              <w:rPr>
                <w:rFonts w:hint="eastAsia" w:ascii="华文楷体" w:hAnsi="华文楷体" w:eastAsia="华文楷体"/>
                <w:szCs w:val="21"/>
              </w:rPr>
              <w:t>(-2)</w:t>
            </w:r>
            <w:r>
              <w:rPr>
                <w:rFonts w:ascii="华文楷体" w:hAnsi="华文楷体" w:eastAsia="华文楷体"/>
                <w:szCs w:val="21"/>
              </w:rPr>
              <w:t xml:space="preserve"> 6月13日（抽查）6</w:t>
            </w:r>
            <w:r>
              <w:rPr>
                <w:rFonts w:hint="eastAsia" w:ascii="华文楷体" w:hAnsi="华文楷体" w:eastAsia="华文楷体"/>
                <w:szCs w:val="21"/>
              </w:rPr>
              <w:t>:</w:t>
            </w:r>
            <w:r>
              <w:rPr>
                <w:rFonts w:ascii="华文楷体" w:hAnsi="华文楷体" w:eastAsia="华文楷体"/>
                <w:szCs w:val="21"/>
              </w:rPr>
              <w:t>30 无接待</w:t>
            </w:r>
            <w:r>
              <w:rPr>
                <w:rFonts w:hint="eastAsia" w:ascii="华文楷体" w:hAnsi="华文楷体" w:eastAsia="华文楷体"/>
                <w:szCs w:val="21"/>
              </w:rPr>
              <w:t>(-1)</w:t>
            </w:r>
          </w:p>
        </w:tc>
        <w:tc>
          <w:tcPr>
            <w:tcW w:w="615" w:type="dxa"/>
            <w:vAlign w:val="center"/>
          </w:tcPr>
          <w:p>
            <w:pPr>
              <w:widowControl/>
              <w:jc w:val="center"/>
              <w:rPr>
                <w:rFonts w:ascii="华文楷体" w:hAnsi="华文楷体" w:eastAsia="华文楷体" w:cs="华文楷体"/>
                <w:kern w:val="0"/>
                <w:szCs w:val="21"/>
              </w:rPr>
            </w:pPr>
            <w:r>
              <w:rPr>
                <w:rFonts w:hint="eastAsia" w:ascii="华文楷体" w:hAnsi="华文楷体" w:eastAsia="华文楷体" w:cs="华文楷体"/>
                <w:kern w:val="0"/>
                <w:szCs w:val="21"/>
              </w:rPr>
              <w:t>25</w:t>
            </w:r>
          </w:p>
        </w:tc>
        <w:tc>
          <w:tcPr>
            <w:tcW w:w="607" w:type="dxa"/>
            <w:vMerge w:val="continue"/>
            <w:vAlign w:val="center"/>
          </w:tcPr>
          <w:p>
            <w:pPr>
              <w:jc w:val="center"/>
              <w:rPr>
                <w:rFonts w:ascii="华文楷体" w:hAnsi="华文楷体" w:eastAsia="华文楷体" w:cs="华文楷体"/>
                <w:szCs w:val="21"/>
              </w:rPr>
            </w:pPr>
          </w:p>
        </w:tc>
      </w:tr>
      <w:bookmarkEnd w:id="0"/>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B36FE7"/>
    <w:rsid w:val="0012360B"/>
    <w:rsid w:val="00220185"/>
    <w:rsid w:val="002E3B87"/>
    <w:rsid w:val="00500BE0"/>
    <w:rsid w:val="005C7280"/>
    <w:rsid w:val="005D07BA"/>
    <w:rsid w:val="007032A1"/>
    <w:rsid w:val="00995385"/>
    <w:rsid w:val="009A0A89"/>
    <w:rsid w:val="009D1D2A"/>
    <w:rsid w:val="00A61326"/>
    <w:rsid w:val="00A83BB2"/>
    <w:rsid w:val="00A85F13"/>
    <w:rsid w:val="00DC4804"/>
    <w:rsid w:val="00DE2794"/>
    <w:rsid w:val="1DF464DD"/>
    <w:rsid w:val="1ECA21FB"/>
    <w:rsid w:val="41B36FE7"/>
    <w:rsid w:val="66461C5F"/>
    <w:rsid w:val="7FEA70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13</Pages>
  <Words>1127</Words>
  <Characters>6424</Characters>
  <Lines>53</Lines>
  <Paragraphs>15</Paragraphs>
  <TotalTime>1</TotalTime>
  <ScaleCrop>false</ScaleCrop>
  <LinksUpToDate>false</LinksUpToDate>
  <CharactersWithSpaces>7536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2019-07-08T09:04:00Z</dcterms:created>
  <dc:creator>新～</dc:creator>
  <cp:lastModifiedBy>一比飘逸</cp:lastModifiedBy>
  <dcterms:modified xsi:type="dcterms:W3CDTF">2019-07-09T02:05:55Z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