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hint="eastAsia" w:ascii="宋体" w:hAnsi="宋体"/>
          <w:b/>
          <w:sz w:val="44"/>
          <w:szCs w:val="44"/>
          <w:lang w:val="en-US" w:eastAsia="zh-CN"/>
        </w:rPr>
      </w:pPr>
      <w:r>
        <w:rPr>
          <w:rFonts w:hint="eastAsia" w:ascii="宋体" w:hAnsi="宋体"/>
          <w:b/>
          <w:sz w:val="44"/>
          <w:szCs w:val="44"/>
        </w:rPr>
        <w:t>202</w:t>
      </w:r>
      <w:r>
        <w:rPr>
          <w:rFonts w:hint="eastAsia" w:ascii="宋体" w:hAnsi="宋体"/>
          <w:b/>
          <w:sz w:val="44"/>
          <w:szCs w:val="44"/>
          <w:lang w:val="en-US" w:eastAsia="zh-CN"/>
        </w:rPr>
        <w:t>2</w:t>
      </w:r>
      <w:r>
        <w:rPr>
          <w:rFonts w:hint="eastAsia" w:ascii="宋体" w:hAnsi="宋体"/>
          <w:b/>
          <w:sz w:val="44"/>
          <w:szCs w:val="44"/>
        </w:rPr>
        <w:t>-202</w:t>
      </w:r>
      <w:r>
        <w:rPr>
          <w:rFonts w:hint="eastAsia" w:ascii="宋体" w:hAnsi="宋体"/>
          <w:b/>
          <w:sz w:val="44"/>
          <w:szCs w:val="44"/>
          <w:lang w:val="en-US" w:eastAsia="zh-CN"/>
        </w:rPr>
        <w:t>3</w:t>
      </w:r>
      <w:r>
        <w:rPr>
          <w:rFonts w:hint="eastAsia" w:ascii="宋体" w:hAnsi="宋体"/>
          <w:b/>
          <w:sz w:val="44"/>
          <w:szCs w:val="44"/>
        </w:rPr>
        <w:t>学年下学期卫生</w:t>
      </w:r>
      <w:r>
        <w:rPr>
          <w:rFonts w:hint="eastAsia" w:ascii="宋体" w:hAnsi="宋体"/>
          <w:b/>
          <w:sz w:val="44"/>
          <w:szCs w:val="44"/>
          <w:lang w:val="en-US" w:eastAsia="zh-CN"/>
        </w:rPr>
        <w:t>简报</w:t>
      </w:r>
    </w:p>
    <w:p>
      <w:pPr>
        <w:spacing w:after="312" w:afterLines="100"/>
        <w:ind w:firstLine="560" w:firstLineChars="200"/>
        <w:jc w:val="both"/>
        <w:rPr>
          <w:rFonts w:hint="eastAsia" w:ascii="宋体" w:hAnsi="宋体"/>
          <w:b/>
          <w:sz w:val="44"/>
          <w:szCs w:val="44"/>
          <w:lang w:val="en-US" w:eastAsia="zh-CN"/>
        </w:rPr>
      </w:pPr>
      <w:r>
        <w:rPr>
          <w:rFonts w:hint="eastAsia"/>
          <w:sz w:val="28"/>
          <w:szCs w:val="28"/>
        </w:rPr>
        <w:t>202</w:t>
      </w:r>
      <w:r>
        <w:rPr>
          <w:rFonts w:hint="eastAsia"/>
          <w:sz w:val="28"/>
          <w:szCs w:val="28"/>
          <w:lang w:val="en-US" w:eastAsia="zh-CN"/>
        </w:rPr>
        <w:t>3</w:t>
      </w:r>
      <w:r>
        <w:rPr>
          <w:rFonts w:hint="eastAsia"/>
          <w:sz w:val="28"/>
          <w:szCs w:val="28"/>
        </w:rPr>
        <w:t>年</w:t>
      </w:r>
      <w:r>
        <w:rPr>
          <w:rFonts w:hint="eastAsia"/>
          <w:sz w:val="28"/>
          <w:szCs w:val="28"/>
          <w:lang w:val="en-US" w:eastAsia="zh-CN"/>
        </w:rPr>
        <w:t>3</w:t>
      </w:r>
      <w:r>
        <w:rPr>
          <w:rFonts w:hint="eastAsia"/>
          <w:sz w:val="28"/>
          <w:szCs w:val="28"/>
        </w:rPr>
        <w:t>月</w:t>
      </w:r>
      <w:r>
        <w:rPr>
          <w:rFonts w:hint="eastAsia"/>
          <w:sz w:val="28"/>
          <w:szCs w:val="28"/>
          <w:lang w:val="en-US" w:eastAsia="zh-CN"/>
        </w:rPr>
        <w:t>13</w:t>
      </w:r>
      <w:r>
        <w:rPr>
          <w:rFonts w:hint="eastAsia"/>
          <w:sz w:val="28"/>
          <w:szCs w:val="28"/>
        </w:rPr>
        <w:t xml:space="preserve">日—— </w:t>
      </w:r>
      <w:r>
        <w:rPr>
          <w:rFonts w:hint="eastAsia"/>
          <w:sz w:val="28"/>
          <w:szCs w:val="28"/>
          <w:lang w:val="en-US" w:eastAsia="zh-CN"/>
        </w:rPr>
        <w:t>5</w:t>
      </w:r>
      <w:r>
        <w:rPr>
          <w:rFonts w:hint="eastAsia"/>
          <w:sz w:val="28"/>
          <w:szCs w:val="28"/>
        </w:rPr>
        <w:t>月</w:t>
      </w:r>
      <w:r>
        <w:rPr>
          <w:rFonts w:hint="eastAsia"/>
          <w:sz w:val="28"/>
          <w:szCs w:val="28"/>
          <w:lang w:val="en-US" w:eastAsia="zh-CN"/>
        </w:rPr>
        <w:t>26</w:t>
      </w:r>
      <w:r>
        <w:rPr>
          <w:rFonts w:hint="eastAsia"/>
          <w:sz w:val="28"/>
          <w:szCs w:val="28"/>
        </w:rPr>
        <w:t>日，学校文明督导组对我校两个校区的校园和办公室卫生进行了督查，卫生整体情况良好，以下是具体督查情况：</w:t>
      </w:r>
      <w:bookmarkStart w:id="0" w:name="_GoBack"/>
      <w:bookmarkEnd w:id="0"/>
    </w:p>
    <w:tbl>
      <w:tblPr>
        <w:tblStyle w:val="2"/>
        <w:tblpPr w:leftFromText="180" w:rightFromText="180" w:vertAnchor="text" w:horzAnchor="page" w:tblpX="1156" w:tblpY="78"/>
        <w:tblOverlap w:val="never"/>
        <w:tblW w:w="12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470"/>
        <w:gridCol w:w="1785"/>
        <w:gridCol w:w="6450"/>
        <w:gridCol w:w="93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5"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3255" w:type="dxa"/>
            <w:gridSpan w:val="2"/>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部门名称</w:t>
            </w:r>
          </w:p>
        </w:tc>
        <w:tc>
          <w:tcPr>
            <w:tcW w:w="6450"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负责区域</w:t>
            </w:r>
          </w:p>
        </w:tc>
        <w:tc>
          <w:tcPr>
            <w:tcW w:w="930"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分数</w:t>
            </w:r>
          </w:p>
        </w:tc>
        <w:tc>
          <w:tcPr>
            <w:tcW w:w="900"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5" w:type="dxa"/>
            <w:vMerge w:val="restart"/>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1470" w:type="dxa"/>
            <w:vMerge w:val="restart"/>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党政办</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综合楼南门前内圈灰色地砖至综合楼后地下停车场入口硬化路面及绿化带，包括东西两侧停车场入口</w:t>
            </w:r>
          </w:p>
        </w:tc>
        <w:tc>
          <w:tcPr>
            <w:tcW w:w="930" w:type="dxa"/>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5" w:type="dxa"/>
            <w:vMerge w:val="continue"/>
            <w:vAlign w:val="center"/>
          </w:tcPr>
          <w:p>
            <w:pPr>
              <w:widowControl/>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color w:val="000000"/>
                <w:kern w:val="0"/>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综合楼902、903、905、906、925、926、1102、1103</w:t>
            </w:r>
          </w:p>
        </w:tc>
        <w:tc>
          <w:tcPr>
            <w:tcW w:w="930"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5" w:type="dxa"/>
            <w:vMerge w:val="restart"/>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1470" w:type="dxa"/>
            <w:vMerge w:val="restart"/>
            <w:vAlign w:val="center"/>
          </w:tcPr>
          <w:p>
            <w:pPr>
              <w:widowControl/>
              <w:jc w:val="center"/>
              <w:rPr>
                <w:rFonts w:ascii="宋体" w:hAnsi="宋体" w:eastAsia="宋体" w:cs="宋体"/>
                <w:color w:val="FF0000"/>
                <w:kern w:val="0"/>
                <w:sz w:val="24"/>
                <w:szCs w:val="24"/>
              </w:rPr>
            </w:pPr>
            <w:r>
              <w:rPr>
                <w:rFonts w:hint="eastAsia" w:ascii="宋体" w:hAnsi="宋体" w:eastAsia="宋体" w:cs="宋体"/>
                <w:sz w:val="24"/>
                <w:szCs w:val="24"/>
              </w:rPr>
              <w:t>纪委</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color w:val="FF0000"/>
                <w:kern w:val="0"/>
                <w:sz w:val="24"/>
                <w:szCs w:val="24"/>
              </w:rPr>
            </w:pPr>
            <w:r>
              <w:rPr>
                <w:rFonts w:hint="eastAsia" w:ascii="宋体" w:hAnsi="宋体" w:eastAsia="宋体" w:cs="宋体"/>
                <w:sz w:val="24"/>
                <w:szCs w:val="24"/>
              </w:rPr>
              <w:t>综合楼地下停车场西入口（含东侧绿化带）及嵩山学堂广场硬化路面，以竹林外的灰色长条形地砖为界限，包含停车场西入口的绿化带</w:t>
            </w:r>
          </w:p>
        </w:tc>
        <w:tc>
          <w:tcPr>
            <w:tcW w:w="930" w:type="dxa"/>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5" w:type="dxa"/>
            <w:vMerge w:val="continue"/>
            <w:vAlign w:val="center"/>
          </w:tcPr>
          <w:p>
            <w:pPr>
              <w:widowControl/>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color w:val="FF0000"/>
                <w:kern w:val="0"/>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color w:val="FF0000"/>
                <w:kern w:val="0"/>
                <w:sz w:val="24"/>
                <w:szCs w:val="24"/>
              </w:rPr>
            </w:pPr>
            <w:r>
              <w:rPr>
                <w:rFonts w:hint="eastAsia" w:ascii="宋体" w:hAnsi="宋体" w:eastAsia="宋体" w:cs="宋体"/>
                <w:sz w:val="24"/>
                <w:szCs w:val="24"/>
              </w:rPr>
              <w:t>综合楼1012、1017、1022</w:t>
            </w:r>
          </w:p>
        </w:tc>
        <w:tc>
          <w:tcPr>
            <w:tcW w:w="930" w:type="dxa"/>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470" w:type="dxa"/>
            <w:vMerge w:val="restart"/>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工会</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嵩山学堂西侧第一条灰色地砖内侧（含绿化带）</w:t>
            </w:r>
          </w:p>
        </w:tc>
        <w:tc>
          <w:tcPr>
            <w:tcW w:w="930" w:type="dxa"/>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5" w:type="dxa"/>
            <w:vMerge w:val="continue"/>
            <w:vAlign w:val="center"/>
          </w:tcPr>
          <w:p>
            <w:pPr>
              <w:widowControl/>
              <w:jc w:val="center"/>
              <w:rPr>
                <w:rFonts w:ascii="宋体" w:hAnsi="宋体" w:eastAsia="宋体" w:cs="宋体"/>
                <w:color w:val="000000"/>
                <w:sz w:val="24"/>
                <w:szCs w:val="24"/>
              </w:rPr>
            </w:pPr>
          </w:p>
        </w:tc>
        <w:tc>
          <w:tcPr>
            <w:tcW w:w="1470" w:type="dxa"/>
            <w:vMerge w:val="continue"/>
            <w:vAlign w:val="center"/>
          </w:tcPr>
          <w:p>
            <w:pPr>
              <w:widowControl/>
              <w:jc w:val="center"/>
              <w:rPr>
                <w:rFonts w:ascii="宋体" w:hAnsi="宋体" w:eastAsia="宋体" w:cs="宋体"/>
                <w:color w:val="000000"/>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综合楼1013、1016</w:t>
            </w:r>
          </w:p>
        </w:tc>
        <w:tc>
          <w:tcPr>
            <w:tcW w:w="930" w:type="dxa"/>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5" w:type="dxa"/>
            <w:vMerge w:val="restart"/>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4</w:t>
            </w:r>
          </w:p>
        </w:tc>
        <w:tc>
          <w:tcPr>
            <w:tcW w:w="1470" w:type="dxa"/>
            <w:vMerge w:val="restart"/>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组织部</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嵩山学堂西侧第一条灰色地砖外侧北至中行北路，南至综合楼前灰色地砖外圈（含绿化带）</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sz w:val="24"/>
                <w:szCs w:val="24"/>
              </w:rPr>
            </w:pPr>
            <w:r>
              <w:rPr>
                <w:rFonts w:ascii="宋体" w:hAnsi="宋体" w:eastAsia="宋体" w:cs="宋体"/>
                <w:color w:val="00000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5" w:type="dxa"/>
            <w:vMerge w:val="continue"/>
            <w:vAlign w:val="center"/>
          </w:tcPr>
          <w:p>
            <w:pPr>
              <w:widowControl/>
              <w:jc w:val="center"/>
              <w:rPr>
                <w:rFonts w:ascii="宋体" w:hAnsi="宋体" w:eastAsia="宋体" w:cs="宋体"/>
                <w:color w:val="000000"/>
                <w:sz w:val="24"/>
                <w:szCs w:val="24"/>
              </w:rPr>
            </w:pPr>
          </w:p>
        </w:tc>
        <w:tc>
          <w:tcPr>
            <w:tcW w:w="1470" w:type="dxa"/>
            <w:vMerge w:val="continue"/>
            <w:vAlign w:val="center"/>
          </w:tcPr>
          <w:p>
            <w:pPr>
              <w:widowControl/>
              <w:jc w:val="center"/>
              <w:rPr>
                <w:rFonts w:ascii="宋体" w:hAnsi="宋体" w:eastAsia="宋体" w:cs="宋体"/>
                <w:color w:val="000000"/>
                <w:kern w:val="0"/>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综合楼909、912、913</w:t>
            </w:r>
          </w:p>
        </w:tc>
        <w:tc>
          <w:tcPr>
            <w:tcW w:w="930" w:type="dxa"/>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95" w:type="dxa"/>
            <w:vMerge w:val="restart"/>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5</w:t>
            </w:r>
          </w:p>
        </w:tc>
        <w:tc>
          <w:tcPr>
            <w:tcW w:w="1470" w:type="dxa"/>
            <w:vMerge w:val="restart"/>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宣传部</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综合楼前灰色地砖以南至楼梯下</w:t>
            </w:r>
          </w:p>
        </w:tc>
        <w:tc>
          <w:tcPr>
            <w:tcW w:w="930" w:type="dxa"/>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5" w:type="dxa"/>
            <w:vMerge w:val="continue"/>
            <w:vAlign w:val="center"/>
          </w:tcPr>
          <w:p>
            <w:pPr>
              <w:widowControl/>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color w:val="000000"/>
                <w:kern w:val="0"/>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综合楼910、916、917、918、919、1220</w:t>
            </w:r>
          </w:p>
        </w:tc>
        <w:tc>
          <w:tcPr>
            <w:tcW w:w="930" w:type="dxa"/>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470" w:type="dxa"/>
            <w:vMerge w:val="restart"/>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统战部</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综合楼东侧绿化带，以灰色地砖为界限和嵩山学堂东门口灰色地砖区域</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color w:val="000000"/>
                <w:kern w:val="0"/>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综合楼911、920、921</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机关党</w:t>
            </w:r>
          </w:p>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总支</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负责卫生区域和工会一致</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color w:val="000000"/>
                <w:kern w:val="0"/>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综合楼1015</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470" w:type="dxa"/>
            <w:vMerge w:val="restart"/>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团委</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中行西路东南侧小山坡（含山坡东侧地面道路）</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color w:val="000000"/>
                <w:kern w:val="0"/>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文博楼A502、503、504、505、506、507</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470" w:type="dxa"/>
            <w:vMerge w:val="restart"/>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人事处</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综合楼西侧人工湖及周边绿化带（含楼梯）</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color w:val="000000"/>
                <w:kern w:val="0"/>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综合楼1002、1003、1005、1020、1021</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470" w:type="dxa"/>
            <w:vMerge w:val="restart"/>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教务处</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文汇楼B区和C区四周绿化带(含天井区域)</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r>
              <w:rPr>
                <w:rFonts w:hint="default" w:ascii="宋体" w:hAnsi="宋体" w:cs="宋体"/>
                <w:color w:val="000000"/>
                <w:kern w:val="0"/>
                <w:sz w:val="24"/>
                <w:szCs w:val="24"/>
                <w:lang w:val="en-US" w:eastAsia="zh-CN"/>
              </w:rPr>
              <w:t>6</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color w:val="000000"/>
                <w:kern w:val="0"/>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综合楼1207、1208、1209、1120、1121、1126</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470" w:type="dxa"/>
            <w:vMerge w:val="restart"/>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学生处</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西校区怡馨公寓1号楼、2号楼周围冬青带至宿舍楼以内区域，不含中间停车区域，东校区所有宿舍楼及周边区域</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color w:val="000000"/>
                <w:kern w:val="0"/>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文博楼A203、A204、A206</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470" w:type="dxa"/>
            <w:vMerge w:val="restart"/>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科研处</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东校区西门北侧中行西路（含两侧绿化带）</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color w:val="000000"/>
                <w:kern w:val="0"/>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综合楼1113、1115、1116、1110</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470" w:type="dxa"/>
            <w:vMerge w:val="restart"/>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外事处</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东校区北篮球场（台阶上道路及绿化区域）</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color w:val="000000"/>
                <w:kern w:val="0"/>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综合楼1106、1109</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1470" w:type="dxa"/>
            <w:vMerge w:val="restart"/>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财务处</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嵩山学堂西侧小广场及楼梯二层（含周围花坛）和广场西侧草坪（含道路）</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color w:val="000000"/>
                <w:kern w:val="0"/>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综合楼1212、1213、306、307、308、309</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后勤</w:t>
            </w:r>
          </w:p>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保障处</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西校区餐厅及四周至校医院北墙，东校区国培楼周边及区域内道路；</w:t>
            </w:r>
          </w:p>
          <w:p>
            <w:pPr>
              <w:spacing w:line="360" w:lineRule="auto"/>
              <w:jc w:val="center"/>
              <w:rPr>
                <w:rFonts w:ascii="宋体" w:hAnsi="宋体" w:eastAsia="宋体" w:cs="宋体"/>
                <w:sz w:val="24"/>
                <w:szCs w:val="24"/>
              </w:rPr>
            </w:pPr>
            <w:r>
              <w:rPr>
                <w:rFonts w:hint="eastAsia" w:ascii="宋体" w:hAnsi="宋体" w:eastAsia="宋体" w:cs="宋体"/>
                <w:sz w:val="24"/>
                <w:szCs w:val="24"/>
              </w:rPr>
              <w:t>翰墨湖西侧绿化带（小瀑布北侧，含花坛）；</w:t>
            </w:r>
          </w:p>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综合楼东门门前道路（含东侧绿化区域）</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color w:val="000000"/>
                <w:kern w:val="0"/>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综合楼1416、1418、1411、1412、1413</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470" w:type="dxa"/>
            <w:vMerge w:val="restart"/>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国有资产管理处</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嵩山学堂西侧小广场和人工湖之间的绿地，以灰色石凳为外沿，以石碑为界线（参考示意图）</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综合楼1201、1202、1203、1216</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基建处</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东西校区待建区域</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48</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综合楼1303、1305、1325、1326、1327</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保卫处</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西校区南大门门岗及门前报亭、西门前广场，东校区西门至圆形花坛处(含圆形花坛)，东校区南门前广场</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西校区</w:t>
            </w:r>
          </w:p>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综合楼14楼</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招生</w:t>
            </w:r>
          </w:p>
          <w:p>
            <w:pPr>
              <w:widowControl/>
              <w:jc w:val="center"/>
              <w:rPr>
                <w:rFonts w:ascii="宋体" w:hAnsi="宋体" w:eastAsia="宋体" w:cs="宋体"/>
                <w:sz w:val="24"/>
                <w:szCs w:val="24"/>
              </w:rPr>
            </w:pPr>
            <w:r>
              <w:rPr>
                <w:rFonts w:hint="eastAsia" w:ascii="宋体" w:hAnsi="宋体" w:eastAsia="宋体" w:cs="宋体"/>
                <w:sz w:val="24"/>
                <w:szCs w:val="24"/>
              </w:rPr>
              <w:t>办公室</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东校区中行北路至嵩山学堂门口（含两侧绿化带）</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文博楼A103、A104</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就业指导中心</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东校区创业孵化基地前停车场</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48</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体育学院101、102、103、104、201</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审计处</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综合楼地下停车场东侧绿化带至嵩山学堂门口（参考示意图）</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综合楼1111、1112、1221</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发展规划处</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文汇楼前广场硬化路面南至中行南路，北至台阶前（含花坛）</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综合楼1007、1008、1019</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老干部工作处</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北门广场（含圆形花坛）</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综合楼1215、1217</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校医院</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校医院小楼南小院</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校医院</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1470" w:type="dxa"/>
            <w:vMerge w:val="restar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教师教育技能综合训练中心</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尚远楼门前的硬化路面。西至绿化带边缘，东至绿化带边缘</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color w:val="000000"/>
                <w:kern w:val="0"/>
                <w:sz w:val="24"/>
                <w:szCs w:val="24"/>
              </w:rPr>
            </w:pP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生物工程研究中心</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西校区西操场北角、南北树木至配电房，西到围墙</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操场西北角看台后203</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1470" w:type="dxa"/>
            <w:vMerge w:val="restar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教师质量检测与评估中心</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文汇楼D区南侧绿化带及西侧绿化带（含西侧通向综合教学楼小路至门口）</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47</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综合楼1122、1123、1310、1311</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国际教育学院</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翰墨湖南侧绿化带（参考示意图）</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文质楼B517、B518、B519，文博楼A103、A104、A105、A106</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语委办</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怡馨园餐厅门前道路，北至怡馨公寓前道路，南至尚远楼前明是路</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rPr>
              <w:t>尚远楼515、517</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学报编辑部</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中行西路东北侧草坪，以石碑为界</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综合楼1306、1307、1321、1322</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网络管理中心</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翰墨湖北面草坪</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综合楼105、1301、1302、1323</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档案馆</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创业孵化基地西部区域，北至郑州银行(不含中行东路）</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综合楼（办）801、802，（对外窗口）803、806</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实习实训基地</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翰墨湖西南角绿化区域及旁边小广场</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综合楼1308、1309</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继续教育学院</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图书馆西侧笃行路（含绿化带）</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49</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崇贤楼110、112、114、116、115、105</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成人教育学院</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文汇楼前广场硬化路面南至下层台阶（含台阶），北至上层台阶前（含花坛）</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综合楼1315、1318、1319、1320</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图书馆</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kern w:val="0"/>
                <w:sz w:val="24"/>
                <w:szCs w:val="24"/>
              </w:rPr>
              <w:t>图书馆北门周边道路及绿化(含停车场)及硬化路面，北至图书馆后树林，南至喷泉池前路面黑色大理石交接处，东西至道路</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r>
              <w:rPr>
                <w:rFonts w:hint="default" w:ascii="宋体" w:hAnsi="宋体" w:cs="宋体"/>
                <w:color w:val="000000"/>
                <w:kern w:val="0"/>
                <w:sz w:val="24"/>
                <w:szCs w:val="24"/>
                <w:lang w:val="en-US" w:eastAsia="zh-CN"/>
              </w:rPr>
              <w:t>3</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kern w:val="0"/>
                <w:sz w:val="24"/>
                <w:szCs w:val="24"/>
              </w:rPr>
              <w:t>图书馆907</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自然博物馆</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自然博物馆后硬化地区</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自然博物馆1楼、2楼楼梯处</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校史馆</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东校区中行东路，北至学生餐厅门口，南至停车场（含西侧绿化带）</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综合楼201、202、203</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社会服务与发展学院</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东校区翰墨湖东侧草坪及道路（参考示意图）</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r>
              <w:rPr>
                <w:rFonts w:hint="default" w:ascii="宋体" w:hAnsi="宋体" w:cs="宋体"/>
                <w:color w:val="000000"/>
                <w:kern w:val="0"/>
                <w:sz w:val="24"/>
                <w:szCs w:val="24"/>
                <w:lang w:val="en-US" w:eastAsia="zh-CN"/>
              </w:rPr>
              <w:t>8</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文博楼A401、A405、A404、A406、A407</w:t>
            </w:r>
          </w:p>
          <w:p>
            <w:pPr>
              <w:widowControl/>
              <w:jc w:val="center"/>
              <w:rPr>
                <w:rFonts w:ascii="宋体" w:hAnsi="宋体" w:eastAsia="宋体" w:cs="宋体"/>
                <w:sz w:val="24"/>
                <w:szCs w:val="24"/>
              </w:rPr>
            </w:pP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文博楼B408、B411、C418、C420</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马克思主义学院</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文汇楼东侧中行东路（含两侧绿化带）、廉苑（参考示意图）</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48</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文博楼C312西</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无</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经济与管理学院</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文博楼周围绿化区域及对应中行西路（参考示意图）</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文博楼C417、C517—C520、C530</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文博楼B208</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文学院</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荟萃山及周围道路（参考示意图）</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文质楼C526,C527,C528,C421</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文质楼C411,C418，C419</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数学与统计学院</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kern w:val="0"/>
                <w:sz w:val="24"/>
                <w:szCs w:val="24"/>
              </w:rPr>
              <w:t>崇信楼、崇智楼周围绿化带，西至知行路（不含道路），东至笃行路（不含冬青带）</w:t>
            </w:r>
            <w:r>
              <w:rPr>
                <w:rFonts w:hint="eastAsia" w:ascii="宋体" w:hAnsi="宋体" w:eastAsia="宋体" w:cs="宋体"/>
                <w:sz w:val="24"/>
                <w:szCs w:val="24"/>
              </w:rPr>
              <w:t>（参考示意图）</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43</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kern w:val="0"/>
                <w:sz w:val="24"/>
                <w:szCs w:val="24"/>
              </w:rPr>
              <w:t>崇信楼5200、5205、5206、5207、5306、5307；</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kern w:val="0"/>
                <w:sz w:val="24"/>
                <w:szCs w:val="24"/>
              </w:rPr>
              <w:t>崇信楼5304、5202、5204</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外国语学院</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南大门西侧山坡及对应中行南路，南大门内小广场（参考示意图）</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文质楼A304、A305、A112、A201、A202、A301</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文质楼A404、A405、A406、A407、A408</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物理与电子科学学院</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kern w:val="0"/>
                <w:sz w:val="24"/>
                <w:szCs w:val="24"/>
              </w:rPr>
              <w:t>西校区崇礼楼南北小院及崇仁楼后连廊(含东部笃行路主干道冬青带）</w:t>
            </w:r>
            <w:r>
              <w:rPr>
                <w:rFonts w:hint="eastAsia" w:ascii="宋体" w:hAnsi="宋体" w:eastAsia="宋体" w:cs="宋体"/>
                <w:sz w:val="24"/>
                <w:szCs w:val="24"/>
              </w:rPr>
              <w:t>（参考示意图）</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r>
              <w:rPr>
                <w:rFonts w:hint="default" w:ascii="宋体" w:hAnsi="宋体" w:cs="宋体"/>
                <w:color w:val="000000"/>
                <w:kern w:val="0"/>
                <w:sz w:val="24"/>
                <w:szCs w:val="24"/>
                <w:lang w:val="en-US" w:eastAsia="zh-CN"/>
              </w:rPr>
              <w:t>5</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kern w:val="0"/>
                <w:sz w:val="24"/>
                <w:szCs w:val="24"/>
              </w:rPr>
              <w:t>崇礼楼3302、3303、3304、3305、3306、3307、3308、3309、3310、3311、3312</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kern w:val="0"/>
                <w:sz w:val="24"/>
                <w:szCs w:val="24"/>
              </w:rPr>
              <w:t>3401、3402、3403、3404、3405、崇智楼四阶三</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化学化工学院</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西校区</w:t>
            </w:r>
            <w:r>
              <w:rPr>
                <w:rFonts w:hint="eastAsia" w:ascii="宋体" w:hAnsi="宋体" w:eastAsia="宋体" w:cs="宋体"/>
                <w:kern w:val="0"/>
                <w:sz w:val="24"/>
                <w:szCs w:val="24"/>
              </w:rPr>
              <w:t>崇义楼</w:t>
            </w:r>
            <w:r>
              <w:rPr>
                <w:rFonts w:hint="eastAsia" w:ascii="宋体" w:hAnsi="宋体" w:eastAsia="宋体" w:cs="宋体"/>
                <w:sz w:val="24"/>
                <w:szCs w:val="24"/>
              </w:rPr>
              <w:t>南北小院及崇义楼后连廊（含知行路及绿化带)至西侧篮球场围墙</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崇义楼2314、2312、2308、2302、2304、2402、2418、2510</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崇智楼4阶2、2106、2108、2110</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生命科学学院</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天鹅湖绿化带至下沉广场，东至教学楼中间道路（含道路），及天鹅湖北侧小道以南草坪（参考示意图）</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r>
              <w:rPr>
                <w:rFonts w:hint="default" w:ascii="宋体" w:hAnsi="宋体" w:cs="宋体"/>
                <w:color w:val="000000"/>
                <w:kern w:val="0"/>
                <w:sz w:val="24"/>
                <w:szCs w:val="24"/>
                <w:lang w:val="en-US" w:eastAsia="zh-CN"/>
              </w:rPr>
              <w:t>5</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崇智楼4301、4302、4304、4306、4308、4310、4312、4314、4316、4318</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4号楼4阶4教室、4101、4103</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地理与旅游学院</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kern w:val="0"/>
                <w:sz w:val="24"/>
                <w:szCs w:val="24"/>
              </w:rPr>
              <w:t>西校区足球场及周边绿化区域及知行路部分区域（参考示意图）</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r>
              <w:rPr>
                <w:rFonts w:hint="default" w:ascii="宋体" w:hAnsi="宋体" w:cs="宋体"/>
                <w:color w:val="000000"/>
                <w:kern w:val="0"/>
                <w:sz w:val="24"/>
                <w:szCs w:val="24"/>
                <w:lang w:val="en-US" w:eastAsia="zh-CN"/>
              </w:rPr>
              <w:t>7</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kern w:val="0"/>
                <w:sz w:val="24"/>
                <w:szCs w:val="24"/>
              </w:rPr>
              <w:t>崇德楼7709、7611、7610、7711、7712、7704、7705、7706、7708、7710</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kern w:val="0"/>
                <w:sz w:val="24"/>
                <w:szCs w:val="24"/>
              </w:rPr>
              <w:t>崇德楼7704、7705、7706、7708</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历史文化学院</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东校区南门东侧山坡及对应中行南路（参考示意图）</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49</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文博楼A303、A304、C318</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文博楼A102、A104、A105、A106、A107</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美术学院</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kern w:val="0"/>
                <w:sz w:val="24"/>
                <w:szCs w:val="24"/>
              </w:rPr>
              <w:t>崇贤楼周围绿化带，美术展览馆周围绿化带及怡馨公寓3号楼周围道路以上硬化及绿化带（不包含周边道路）</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kern w:val="0"/>
                <w:sz w:val="24"/>
                <w:szCs w:val="24"/>
              </w:rPr>
              <w:t>崇贤楼 205、204、202、216、321、312、311、306、405</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无</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音乐与舞蹈学院</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尚韵楼车辆通行道以东绿化区域及下沉广场（含东部下层花坛），尚韵楼南部天鹅湖绿化带及天鹅湖周边部分道路</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40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尚韵楼A103、A208、A209、A210、A211、A212、A214、A215、A216、A317、A316、A313、A314、A311、A309</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尚韵楼6101、6102、崇尚楼老舞蹈厅</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52</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体育学院</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东校区综合训练馆，体育场及周边道路、绿化带（参考示意图）</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综合体育场T202、T301、T305</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综合体育场T102、T103</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53</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教育科学学院</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尚远楼周围硬化路面和绿化带，北至怡馨公寓前道路，南至尚远楼前明是路。（不包括尚远楼门前硬化路面）</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49</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尚志楼803、804、805、806、807、808、809、810、811、812、815</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崇仁楼1阶梯2教室、尚志楼幼儿区域活动实训室 707 奥尔夫音乐实训室 813、816 蒙台梭利实训室 、7109电钢教室、尚远楼402心理沙盘技能训练室、404基础心理技能训练室、406卫生保健实训室、408科学发现实训室</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特殊教育学院</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特教楼前硬化路面及明是路，东至笃行路</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尚志楼902、903、904、906、908、910、911、912、915、905</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实验室：特教楼12404、12710</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信息科学与技术学院</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西校区崇仁楼南边南草坪绿化区域至明德路，西侧网球场和西校门入口南广场一半区域。（包含台阶下道路）</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49</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崇仁楼1114、1105、1407、1517、1510、1508、1500</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西校区一号楼1阶2教室、1401、1402、1404</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初等教育学院</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hint="default" w:ascii="宋体" w:hAnsi="宋体" w:eastAsia="宋体" w:cs="宋体"/>
                <w:sz w:val="24"/>
                <w:szCs w:val="24"/>
                <w:lang w:val="en-US" w:eastAsia="zh-CN"/>
              </w:rPr>
            </w:pPr>
            <w:r>
              <w:rPr>
                <w:rFonts w:hint="eastAsia" w:ascii="宋体" w:hAnsi="宋体" w:eastAsia="宋体" w:cs="宋体"/>
                <w:kern w:val="0"/>
                <w:sz w:val="24"/>
                <w:szCs w:val="24"/>
              </w:rPr>
              <w:t>怡馨公寓1号楼和2号楼周边道路及部分绿化区（不包含怡馨公寓1号楼和2号楼南北方向冬青带内绿化），7号楼报告厅周围绿化和硬化区域，7号报告厅东部乒乓球场南至小篮球场，7号楼至怡馨公寓3号楼台阶下道路区域（包含原有校北门道路）</w:t>
            </w:r>
            <w:r>
              <w:rPr>
                <w:rFonts w:hint="eastAsia" w:ascii="宋体" w:hAnsi="宋体" w:eastAsia="宋体" w:cs="宋体"/>
                <w:sz w:val="24"/>
                <w:szCs w:val="24"/>
              </w:rPr>
              <w:t>（参考示意图</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48</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kern w:val="0"/>
                <w:sz w:val="24"/>
                <w:szCs w:val="24"/>
              </w:rPr>
              <w:t>尚德楼7207、7310、7411、7409、7413-7415、7417、7511</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kern w:val="0"/>
                <w:sz w:val="24"/>
                <w:szCs w:val="24"/>
              </w:rPr>
              <w:t>尚德楼7203、7208、7403、7404、7408</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传播学院</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文质楼周围绿化带及对应道路（参考示意图）</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文质楼A102、A103、A104、</w:t>
            </w:r>
            <w:r>
              <w:rPr>
                <w:rFonts w:ascii="宋体" w:hAnsi="宋体" w:eastAsia="宋体" w:cs="宋体"/>
                <w:color w:val="000000"/>
                <w:kern w:val="0"/>
                <w:sz w:val="24"/>
                <w:szCs w:val="24"/>
              </w:rPr>
              <w:t>A210</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C118</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C119</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C115</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C216</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C217</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C324</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B212</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教室卫生</w:t>
            </w:r>
          </w:p>
        </w:tc>
        <w:tc>
          <w:tcPr>
            <w:tcW w:w="645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文质楼C213（两间）、C214（两间）、C215、C320;文质楼B314、B315、B316</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58</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公共艺术部</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文汇楼A区北侧绿化带及西侧绿化带（含西侧通向综合教学楼小路至门口）</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综合楼1312、1313</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59</w:t>
            </w:r>
          </w:p>
        </w:tc>
        <w:tc>
          <w:tcPr>
            <w:tcW w:w="1470" w:type="dxa"/>
            <w:vMerge w:val="restart"/>
            <w:vAlign w:val="center"/>
          </w:tcPr>
          <w:p>
            <w:pPr>
              <w:widowControl/>
              <w:jc w:val="center"/>
              <w:rPr>
                <w:rFonts w:ascii="宋体" w:hAnsi="宋体" w:eastAsia="宋体" w:cs="宋体"/>
                <w:sz w:val="24"/>
                <w:szCs w:val="24"/>
              </w:rPr>
            </w:pPr>
            <w:r>
              <w:rPr>
                <w:rFonts w:hint="eastAsia" w:ascii="宋体" w:hAnsi="宋体" w:eastAsia="宋体" w:cs="宋体"/>
                <w:sz w:val="24"/>
                <w:szCs w:val="24"/>
              </w:rPr>
              <w:t>资产经营有限公司</w:t>
            </w: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校园公共卫生</w:t>
            </w:r>
          </w:p>
        </w:tc>
        <w:tc>
          <w:tcPr>
            <w:tcW w:w="6450" w:type="dxa"/>
            <w:vAlign w:val="center"/>
          </w:tcPr>
          <w:p>
            <w:pPr>
              <w:widowControl/>
              <w:jc w:val="center"/>
              <w:rPr>
                <w:rFonts w:ascii="宋体" w:hAnsi="宋体" w:eastAsia="宋体" w:cs="宋体"/>
                <w:sz w:val="24"/>
                <w:szCs w:val="24"/>
              </w:rPr>
            </w:pPr>
            <w:r>
              <w:rPr>
                <w:rFonts w:hint="eastAsia" w:ascii="宋体" w:hAnsi="宋体" w:eastAsia="宋体" w:cs="宋体"/>
                <w:kern w:val="0"/>
                <w:sz w:val="24"/>
                <w:szCs w:val="24"/>
              </w:rPr>
              <w:t>创业孵化基地南广场硬化区域至停车场（不包含停车场），东校区教师餐厅天井小院绿化及硬化区域</w:t>
            </w: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restart"/>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dxa"/>
            <w:vMerge w:val="continue"/>
            <w:vAlign w:val="center"/>
          </w:tcPr>
          <w:p>
            <w:pPr>
              <w:jc w:val="center"/>
              <w:rPr>
                <w:rFonts w:ascii="宋体" w:hAnsi="宋体" w:eastAsia="宋体" w:cs="宋体"/>
                <w:color w:val="000000"/>
                <w:kern w:val="0"/>
                <w:sz w:val="24"/>
                <w:szCs w:val="24"/>
              </w:rPr>
            </w:pPr>
          </w:p>
        </w:tc>
        <w:tc>
          <w:tcPr>
            <w:tcW w:w="1470" w:type="dxa"/>
            <w:vMerge w:val="continue"/>
            <w:vAlign w:val="center"/>
          </w:tcPr>
          <w:p>
            <w:pPr>
              <w:widowControl/>
              <w:jc w:val="center"/>
              <w:rPr>
                <w:rFonts w:ascii="宋体" w:hAnsi="宋体" w:eastAsia="宋体" w:cs="宋体"/>
                <w:sz w:val="24"/>
                <w:szCs w:val="24"/>
              </w:rPr>
            </w:pPr>
          </w:p>
        </w:tc>
        <w:tc>
          <w:tcPr>
            <w:tcW w:w="1785"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办公室卫生</w:t>
            </w:r>
          </w:p>
        </w:tc>
        <w:tc>
          <w:tcPr>
            <w:tcW w:w="6450" w:type="dxa"/>
            <w:vAlign w:val="center"/>
          </w:tcPr>
          <w:p>
            <w:pPr>
              <w:widowControl/>
              <w:jc w:val="center"/>
              <w:rPr>
                <w:rFonts w:ascii="宋体" w:hAnsi="宋体" w:eastAsia="宋体" w:cs="宋体"/>
                <w:sz w:val="24"/>
                <w:szCs w:val="24"/>
              </w:rPr>
            </w:pPr>
          </w:p>
        </w:tc>
        <w:tc>
          <w:tcPr>
            <w:tcW w:w="930" w:type="dxa"/>
            <w:vAlign w:val="center"/>
          </w:tcPr>
          <w:p>
            <w:pPr>
              <w:spacing w:line="60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900" w:type="dxa"/>
            <w:vMerge w:val="continue"/>
            <w:vAlign w:val="center"/>
          </w:tcPr>
          <w:p>
            <w:pPr>
              <w:jc w:val="center"/>
              <w:rPr>
                <w:rFonts w:ascii="宋体" w:hAnsi="宋体" w:eastAsia="宋体" w:cs="宋体"/>
                <w:color w:val="000000"/>
                <w:kern w:val="0"/>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NmRiMjZjMWMyM2Y1OWUxMDA1ZWE1NTllMWQ5ODIifQ=="/>
  </w:docVars>
  <w:rsids>
    <w:rsidRoot w:val="00000000"/>
    <w:rsid w:val="6ED06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qFormat/>
    <w:uiPriority w:val="1"/>
  </w:style>
  <w:style w:type="table" w:default="1" w:styleId="2">
    <w:name w:val="Normal Table"/>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4064</Words>
  <Characters>5299</Characters>
  <Paragraphs>974</Paragraphs>
  <TotalTime>1</TotalTime>
  <ScaleCrop>false</ScaleCrop>
  <LinksUpToDate>false</LinksUpToDate>
  <CharactersWithSpaces>5305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2021-04-12T08:11:00Z</dcterms:created>
  <dc:creator>GingGing</dc:creator>
  <cp:lastModifiedBy>GingGing</cp:lastModifiedBy>
  <dcterms:modified xsi:type="dcterms:W3CDTF">2023-12-18T08:39:54Z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5347B23E56944A6AA83CC359F41D8A69_13</vt:lpwstr>
  </property>
</Properties>
</file>