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b w:val="0"/>
          <w:bCs w:val="0"/>
          <w:kern w:val="0"/>
          <w:sz w:val="32"/>
          <w:szCs w:val="32"/>
          <w:lang w:val="en-US" w:eastAsia="zh-CN" w:bidi="ar"/>
        </w:rPr>
      </w:pPr>
      <w:bookmarkStart w:id="0" w:name="_GoBack"/>
      <w:bookmarkEnd w:id="0"/>
      <w:r>
        <w:rPr>
          <w:rFonts w:hint="eastAsia" w:ascii="黑体" w:hAnsi="黑体" w:eastAsia="黑体" w:cs="黑体"/>
          <w:b w:val="0"/>
          <w:bCs w:val="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仿宋" w:hAnsi="仿宋" w:eastAsia="仿宋" w:cs="仿宋"/>
          <w:b/>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省纪委监委公开通报六起违规吃喝典型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案  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kern w:val="0"/>
          <w:sz w:val="44"/>
          <w:szCs w:val="4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端午节将至，为进一步强化警示教育，严防违规吃喝顽瘴痼疾反弹回潮，确保节日期间风清气正，省纪委监委现将6起违规吃喝典型案例通报如下。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河南警察学院党委原书记王伟平接受可能影响公正执行公务的宴请问题。</w:t>
      </w:r>
      <w:r>
        <w:rPr>
          <w:rFonts w:hint="eastAsia" w:ascii="仿宋" w:hAnsi="仿宋" w:eastAsia="仿宋" w:cs="仿宋"/>
          <w:sz w:val="32"/>
          <w:szCs w:val="32"/>
        </w:rPr>
        <w:t>2013年至2022年，王伟平多次在企业内部餐厅违规接受私营企业主安排的宴请。王伟平还存在其他严重违纪违法问题。2023年9月，王伟平被开除党籍、取消退休待遇，涉嫌犯罪问题被移送检察机关依法审查起诉。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林州市委原书记王宝玉接受可能影响公正执行公务的宴请问题。</w:t>
      </w:r>
      <w:r>
        <w:rPr>
          <w:rFonts w:hint="eastAsia" w:ascii="仿宋" w:hAnsi="仿宋" w:eastAsia="仿宋" w:cs="仿宋"/>
          <w:sz w:val="32"/>
          <w:szCs w:val="32"/>
        </w:rPr>
        <w:t>2017年至2020年，王宝玉先后多次在企业内部餐厅、高档饭店等场所，违规接受管理服务对象安排的宴请。王宝玉还存在其他违纪违法问题。2024年4月，王宝玉受到留党察看一年、政务撤职处分，降为一级主任科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省工人温泉疗养院原党委副书记、院长马卿贺违规组织公款支付的宴请问题。</w:t>
      </w:r>
      <w:r>
        <w:rPr>
          <w:rFonts w:hint="eastAsia" w:ascii="仿宋" w:hAnsi="仿宋" w:eastAsia="仿宋" w:cs="仿宋"/>
          <w:sz w:val="32"/>
          <w:szCs w:val="32"/>
        </w:rPr>
        <w:t>2021年12月，马卿贺将个人组织宴请、购买酒水费用共计1.03万元，以虚列会议费等方式变通报销。马卿贺还存在其他违纪问题。2024年4月，马卿贺受到党内警告处分。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光山县官渡河产业集聚区党委原书记张国伟套取费用公款吃喝问题。</w:t>
      </w:r>
      <w:r>
        <w:rPr>
          <w:rFonts w:hint="eastAsia" w:ascii="仿宋" w:hAnsi="仿宋" w:eastAsia="仿宋" w:cs="仿宋"/>
          <w:sz w:val="32"/>
          <w:szCs w:val="32"/>
        </w:rPr>
        <w:t>2019年至2021年，张国伟同意下属以虚增工程款方式套取资金共计30.96万元，用于支付本单位违规吃喝、购买烟酒等费用。2023年7月，张国伟受到党内严重警告处分。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项城市市场监督管理局原党组副书记、局长韩新玲违规公务接待、组织公款支付的宴请问题。</w:t>
      </w:r>
      <w:r>
        <w:rPr>
          <w:rFonts w:hint="eastAsia" w:ascii="仿宋" w:hAnsi="仿宋" w:eastAsia="仿宋" w:cs="仿宋"/>
          <w:sz w:val="32"/>
          <w:szCs w:val="32"/>
        </w:rPr>
        <w:t>2022年至2023年，韩新玲安排购买酒水用于超标准接待，并将相关费用4.86万元变通报销；违规组织公款支付的宴请，并将相关费用4.32万元以虚开租车发票形式报销。韩新玲还存在其他严重违纪违法问题。2024年5月，韩新玲受到开除党籍、政务撤职处分，降为二级科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Style w:val="5"/>
          <w:rFonts w:hint="eastAsia" w:ascii="仿宋" w:hAnsi="仿宋" w:eastAsia="仿宋" w:cs="仿宋"/>
          <w:sz w:val="32"/>
          <w:szCs w:val="32"/>
        </w:rPr>
        <w:t>许昌学院校地合作办公室对外合作科科长孟雷变通报销违规接待费用问题。</w:t>
      </w:r>
      <w:r>
        <w:rPr>
          <w:rFonts w:hint="eastAsia" w:ascii="仿宋" w:hAnsi="仿宋" w:eastAsia="仿宋" w:cs="仿宋"/>
          <w:sz w:val="32"/>
          <w:szCs w:val="32"/>
        </w:rPr>
        <w:t>2017年至2022年，孟雷将违规接待费用1.35万元，以虚开发票、虚列支出形式报销。孟雷还存在其他违纪问题。2023年11月，孟雷受到党内严重警告处分。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吃喝问题绝非小事小节。二十届中央纪委三次全会对专项整治违规吃喝作出部署，就是要重拳出击、靶向纠治，以重点问题的突破，带动作风建设工作整体推进。各级党组织和领导干部要深入学习习近平总书记关于党的自我革命的重要思想，把违规吃喝专项整治作为铲除腐败滋生土壤、净化政治生态的重要举措，强化对本地区本单位本系统违规吃喝态势的研判，有针对性地开展整改整治。各级纪检监察机关要以高度责任感推进专项整治，针对通报案例反映出的“吃老板”“吃公款”“吃下级”等突出问题，坚持“严查”和“治理”两手抓，对顶风吃喝行为从严处理，对风腐交织问题同查同治，通过以案促改促治健全长效机制，结合党纪学习教育筑牢思想根基，以专项整治的实际成效，带动全省作风建设不断走向深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端午节将至，各级纪检监察机关要聚焦节日期间易发多发的“四风”问题，紧盯不放、寸步不让，推动主体责任、监督责任、监管责任同向发力，联动开展监督检查，从严从重查处违规违纪行为，及时通报典型案例，坚决防止“节日病”反弹回潮，让清正廉洁的风气不断充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CFC6F1"/>
    <w:rsid w:val="37CE3BF6"/>
    <w:rsid w:val="6DE42F73"/>
    <w:rsid w:val="DECFC6F1"/>
    <w:rsid w:val="FFFF0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1233</Words>
  <Characters>1302</Characters>
  <Lines>0</Lines>
  <Paragraphs>0</Paragraphs>
  <TotalTime>2.33333333333333</TotalTime>
  <ScaleCrop>false</ScaleCrop>
  <LinksUpToDate>false</LinksUpToDate>
  <CharactersWithSpaces>1304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2024-06-07T11:36:00Z</dcterms:created>
  <dc:creator>原来如此</dc:creator>
  <cp:lastModifiedBy>～乐</cp:lastModifiedBy>
  <dcterms:modified xsi:type="dcterms:W3CDTF">2024-06-07T08:19:31Z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6F1D37FF72F5469FA5342B87F87B27C7_13</vt:lpwstr>
  </property>
</Properties>
</file>