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113" w:tblpY="602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45"/>
        <w:gridCol w:w="3375"/>
        <w:gridCol w:w="193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textDirection w:val="lrTb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序号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科研经费项目</w:t>
            </w:r>
          </w:p>
        </w:tc>
        <w:tc>
          <w:tcPr>
            <w:tcW w:w="337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说明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会计经济科目</w:t>
            </w:r>
          </w:p>
        </w:tc>
        <w:tc>
          <w:tcPr>
            <w:tcW w:w="186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仪器设备费</w:t>
            </w:r>
          </w:p>
        </w:tc>
        <w:tc>
          <w:tcPr>
            <w:tcW w:w="33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单价低于10万元的设备只需填写合计数。</w:t>
            </w:r>
          </w:p>
        </w:tc>
        <w:tc>
          <w:tcPr>
            <w:tcW w:w="193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设备费</w:t>
            </w:r>
          </w:p>
        </w:tc>
        <w:tc>
          <w:tcPr>
            <w:tcW w:w="1860" w:type="dxa"/>
            <w:vMerge w:val="restart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大型设备费</w:t>
            </w:r>
          </w:p>
        </w:tc>
        <w:tc>
          <w:tcPr>
            <w:tcW w:w="3375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单价超10万元(含)的设备需填写明细。</w:t>
            </w:r>
          </w:p>
        </w:tc>
        <w:tc>
          <w:tcPr>
            <w:tcW w:w="1935" w:type="dxa"/>
            <w:vMerge w:val="continue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tcBorders/>
            <w:textDirection w:val="lrTb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845" w:type="dxa"/>
            <w:textDirection w:val="lrTb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设备升级改造费</w:t>
            </w:r>
          </w:p>
        </w:tc>
        <w:tc>
          <w:tcPr>
            <w:tcW w:w="3375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35" w:type="dxa"/>
            <w:vMerge w:val="continue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tcBorders/>
            <w:textDirection w:val="lrTb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1845" w:type="dxa"/>
            <w:textDirection w:val="lrTb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设备租赁费</w:t>
            </w:r>
          </w:p>
        </w:tc>
        <w:tc>
          <w:tcPr>
            <w:tcW w:w="3375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35" w:type="dxa"/>
            <w:vMerge w:val="continue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tcBorders/>
            <w:textDirection w:val="lrTb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vertAlign w:val="baseline"/>
                <w:lang w:eastAsia="zh-CN"/>
              </w:rPr>
              <w:t>原料试剂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费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项目研究过程中消耗的各种原材料、辅助材料、低值易耗品等的采购及运输、装卸、整理等费用。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材料耗材费</w:t>
            </w:r>
          </w:p>
        </w:tc>
        <w:tc>
          <w:tcPr>
            <w:tcW w:w="1860" w:type="dxa"/>
            <w:vMerge w:val="restart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vertAlign w:val="baseline"/>
                <w:lang w:eastAsia="zh-CN"/>
              </w:rPr>
              <w:t>办公耗材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费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燃料动力费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项目研究过程中相关大型仪器设备、专用科学装置等运行发生的可以单独计量的水、电、气、燃料消耗费用等。</w:t>
            </w: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0" w:lineRule="atLeast"/>
              <w:ind w:left="0" w:leftChars="0" w:right="0" w:righ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0" w:lineRule="atLeast"/>
              <w:ind w:left="0" w:leftChars="0" w:right="0" w:right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数据采集费</w:t>
            </w:r>
          </w:p>
        </w:tc>
        <w:tc>
          <w:tcPr>
            <w:tcW w:w="3375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项目研究过程中发生的问卷调查、数据跟踪采集、案例分析等费用。</w:t>
            </w:r>
          </w:p>
        </w:tc>
        <w:tc>
          <w:tcPr>
            <w:tcW w:w="1935" w:type="dxa"/>
            <w:vMerge w:val="restart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委托业务费</w:t>
            </w:r>
          </w:p>
        </w:tc>
        <w:tc>
          <w:tcPr>
            <w:tcW w:w="1860" w:type="dxa"/>
            <w:vMerge w:val="restart"/>
            <w:textDirection w:val="lrTb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测试化验加工费</w:t>
            </w:r>
          </w:p>
        </w:tc>
        <w:tc>
          <w:tcPr>
            <w:tcW w:w="3375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自科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项目研究过程中支付给外单位（包括依托单位内部独立经济核算单位）的检验、测试、化验及加工等费用。</w:t>
            </w:r>
          </w:p>
        </w:tc>
        <w:tc>
          <w:tcPr>
            <w:tcW w:w="1935" w:type="dxa"/>
            <w:vMerge w:val="continue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tcBorders/>
            <w:textDirection w:val="lrTb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会议费</w:t>
            </w:r>
          </w:p>
        </w:tc>
        <w:tc>
          <w:tcPr>
            <w:tcW w:w="3375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935" w:type="dxa"/>
            <w:vMerge w:val="restart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会议费/差旅费/国际合作与交流费</w:t>
            </w:r>
          </w:p>
        </w:tc>
        <w:tc>
          <w:tcPr>
            <w:tcW w:w="1860" w:type="dxa"/>
            <w:vMerge w:val="restart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三项费用合计超过直接费用20%的，需要对计划开展的会议、调研、国际合作与交流等所需资金情况作出具体说明。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vertAlign w:val="baseline"/>
                <w:lang w:eastAsia="zh-CN"/>
              </w:rPr>
              <w:t>外埠差旅费</w:t>
            </w:r>
          </w:p>
        </w:tc>
        <w:tc>
          <w:tcPr>
            <w:tcW w:w="3375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935" w:type="dxa"/>
            <w:vMerge w:val="continue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tcBorders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12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市内交通费</w:t>
            </w:r>
          </w:p>
        </w:tc>
        <w:tc>
          <w:tcPr>
            <w:tcW w:w="3375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935" w:type="dxa"/>
            <w:vMerge w:val="continue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tcBorders/>
            <w:textDirection w:val="lrTb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13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国际合作交流费</w:t>
            </w:r>
          </w:p>
        </w:tc>
        <w:tc>
          <w:tcPr>
            <w:tcW w:w="33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935" w:type="dxa"/>
            <w:vMerge w:val="continue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图书资料费</w:t>
            </w:r>
          </w:p>
        </w:tc>
        <w:tc>
          <w:tcPr>
            <w:tcW w:w="337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3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出版/文献/信息传播/知识产权事务费</w:t>
            </w:r>
          </w:p>
        </w:tc>
        <w:tc>
          <w:tcPr>
            <w:tcW w:w="1860" w:type="dxa"/>
            <w:vMerge w:val="restart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15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出版发行费</w:t>
            </w:r>
          </w:p>
        </w:tc>
        <w:tc>
          <w:tcPr>
            <w:tcW w:w="337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35" w:type="dxa"/>
            <w:vMerge w:val="continue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textDirection w:val="lrTb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文献检索费</w:t>
            </w:r>
          </w:p>
        </w:tc>
        <w:tc>
          <w:tcPr>
            <w:tcW w:w="337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35" w:type="dxa"/>
            <w:vMerge w:val="continue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textDirection w:val="lrTb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17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专业通讯费</w:t>
            </w:r>
          </w:p>
        </w:tc>
        <w:tc>
          <w:tcPr>
            <w:tcW w:w="337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35" w:type="dxa"/>
            <w:vMerge w:val="continue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textDirection w:val="lrTb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18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专利申请费</w:t>
            </w:r>
          </w:p>
        </w:tc>
        <w:tc>
          <w:tcPr>
            <w:tcW w:w="337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35" w:type="dxa"/>
            <w:vMerge w:val="continue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textDirection w:val="lrTb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19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资料翻译费</w:t>
            </w:r>
          </w:p>
        </w:tc>
        <w:tc>
          <w:tcPr>
            <w:tcW w:w="337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35" w:type="dxa"/>
            <w:vMerge w:val="continue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textDirection w:val="lrTb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20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劳务费</w:t>
            </w:r>
          </w:p>
        </w:tc>
        <w:tc>
          <w:tcPr>
            <w:tcW w:w="337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支付给项目组成员中没有工资性收入的在校研究生、博士后和临时聘用人员的劳务费用，以及临时聘用人员的社会保险补助费用。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人员经费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专家咨询费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专家咨询费标准按国家有关规定执行。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22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水电气暖费</w:t>
            </w:r>
          </w:p>
        </w:tc>
        <w:tc>
          <w:tcPr>
            <w:tcW w:w="337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补偿依托单位为了项目研究提供的现有仪器设备及房屋，水、电、气、暖消耗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间接费用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间接费用由依托单位统一管理使用。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23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绩效支出</w:t>
            </w:r>
          </w:p>
        </w:tc>
        <w:tc>
          <w:tcPr>
            <w:tcW w:w="337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依托单位为了提高科研工作的绩效安排的相关支出。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24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管理费</w:t>
            </w:r>
          </w:p>
        </w:tc>
        <w:tc>
          <w:tcPr>
            <w:tcW w:w="337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主要用于支付组织、调研、论证、评审、结项、鉴定等科研相关费用。按经费预算额度5%提取科研管理费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。  </w:t>
            </w: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720" w:right="720" w:bottom="451" w:left="72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B20D7"/>
    <w:rsid w:val="0EFA61D0"/>
    <w:rsid w:val="254E2A6D"/>
    <w:rsid w:val="60F406E5"/>
    <w:rsid w:val="72607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ode"/>
    <w:basedOn w:val="3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Administrator.USER-20151130LB</dc:creator>
  <cp:lastModifiedBy>Administrator</cp:lastModifiedBy>
  <cp:lastPrinted>2017-05-17T03:32:51Z</cp:lastPrinted>
  <dcterms:modified xsi:type="dcterms:W3CDTF">2017-05-17T09:48:19Z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