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18" w:rsidRPr="00B92418" w:rsidRDefault="00B92418" w:rsidP="00B92418">
      <w:pPr>
        <w:spacing w:line="620" w:lineRule="exact"/>
        <w:jc w:val="center"/>
        <w:rPr>
          <w:rFonts w:ascii="宋体" w:eastAsia="宋体" w:hAnsi="宋体" w:cs="Times New Roman"/>
          <w:bCs/>
          <w:sz w:val="36"/>
          <w:szCs w:val="36"/>
        </w:rPr>
      </w:pPr>
      <w:r w:rsidRPr="00B92418">
        <w:rPr>
          <w:rFonts w:ascii="宋体" w:eastAsia="宋体" w:hAnsi="宋体" w:cs="Times New Roman" w:hint="eastAsia"/>
          <w:bCs/>
          <w:sz w:val="36"/>
          <w:szCs w:val="36"/>
        </w:rPr>
        <w:t>2020年度《资政参考》投稿指南</w:t>
      </w:r>
    </w:p>
    <w:p w:rsidR="00B92418" w:rsidRPr="00B92418" w:rsidRDefault="00B92418" w:rsidP="00B92418">
      <w:pPr>
        <w:spacing w:line="620" w:lineRule="exact"/>
        <w:jc w:val="center"/>
        <w:rPr>
          <w:rFonts w:ascii="宋体" w:eastAsia="宋体" w:hAnsi="宋体" w:cs="Times New Roman"/>
          <w:bCs/>
          <w:sz w:val="36"/>
          <w:szCs w:val="36"/>
        </w:rPr>
      </w:pP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1.推进黄河流域生态保护和高质量发展,构建我省优势互补的区域经济布局的新思路、新举措</w:t>
      </w: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2.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郑州建设黄河流域高质量发展核心示范区的路径</w:t>
      </w: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3.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做好“六稳”工作、全面落实“六保”任务，促进我省经济持续健康发展的新思路、新举措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4.实施“藏粮于地、藏粮于技”战略，加快推进我省国家粮食生产核心区建设的新思路、新举措</w:t>
      </w: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5.以郑洛新自创区为龙头，持续实施“十百千”转型升级创新的新思路、新举措</w:t>
      </w: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6.聚焦我省脱贫任务重的县村攻坚,抓好特殊贫困群体兜底保障,全面完成剩余减</w:t>
      </w:r>
      <w:proofErr w:type="gramStart"/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贫任务</w:t>
      </w:r>
      <w:proofErr w:type="gramEnd"/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的对策</w:t>
      </w: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7.以重点领域改革破除体制机制障碍,深化我省“放管服”改革、国企改革的路径</w:t>
      </w:r>
    </w:p>
    <w:p w:rsidR="00B92418" w:rsidRPr="00B92418" w:rsidRDefault="00B92418" w:rsidP="00B92418">
      <w:pPr>
        <w:spacing w:line="620" w:lineRule="exact"/>
        <w:ind w:firstLineChars="200" w:firstLine="720"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8.加快我省信息技术与制造业融合发展（调结构、转方式）的新举措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9.如何培育我省数字经济新产业、新业态、新模式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10.加快培育和发展我省生命健康产业的推进路径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lastRenderedPageBreak/>
        <w:t>11.围绕产业链、瞄准新兴产业,突出招大引强,提高专业化招商水平,进一步我省优化营商环境的对策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12.提升我省“四条丝路”建设水平的新举措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13.加快建设我省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5G信息网络，激发新消费需求，助力产业升级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的路径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14.健全我省在交通、信息、水利、能源等重大基础设施建设中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市场化投融资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体制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机制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的新举措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15.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加强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我省（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医疗卫生等公共服务设施、垃圾污水处理等环境卫生设施、交通市政管网等市政公用设施、冷链物流等）产业培育设施建设，加快城市更新，完善提升城镇功能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的对策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16.加快河南省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高标准农田建设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的推进路径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 xml:space="preserve">　　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6"/>
          <w:szCs w:val="36"/>
          <w:shd w:val="clear" w:color="auto" w:fill="FFFFFF"/>
        </w:rPr>
      </w:pP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17.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加快推进河南省乡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村人居环境整治工程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的路径</w:t>
      </w:r>
    </w:p>
    <w:p w:rsidR="00B92418" w:rsidRPr="00B92418" w:rsidRDefault="00B92418" w:rsidP="00B92418">
      <w:pPr>
        <w:tabs>
          <w:tab w:val="left" w:pos="420"/>
        </w:tabs>
        <w:spacing w:line="620" w:lineRule="exact"/>
        <w:ind w:firstLine="630"/>
        <w:contextualSpacing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18.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加快建设</w:t>
      </w:r>
      <w:r w:rsidRPr="00B92418">
        <w:rPr>
          <w:rFonts w:ascii="仿宋" w:eastAsia="仿宋" w:hAnsi="仿宋" w:cs="Times New Roman"/>
          <w:sz w:val="36"/>
          <w:szCs w:val="36"/>
          <w:shd w:val="clear" w:color="auto" w:fill="FFFFFF"/>
        </w:rPr>
        <w:t>智慧农业和数字乡村建设工程</w:t>
      </w:r>
      <w:r w:rsidRPr="00B92418">
        <w:rPr>
          <w:rFonts w:ascii="仿宋" w:eastAsia="仿宋" w:hAnsi="仿宋" w:cs="Times New Roman" w:hint="eastAsia"/>
          <w:sz w:val="36"/>
          <w:szCs w:val="36"/>
          <w:shd w:val="clear" w:color="auto" w:fill="FFFFFF"/>
        </w:rPr>
        <w:t>的对策</w:t>
      </w:r>
    </w:p>
    <w:p w:rsidR="0061118F" w:rsidRPr="00B92418" w:rsidRDefault="0061118F">
      <w:bookmarkStart w:id="0" w:name="_GoBack"/>
      <w:bookmarkEnd w:id="0"/>
    </w:p>
    <w:sectPr w:rsidR="0061118F" w:rsidRPr="00B92418" w:rsidSect="00B7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AA" w:rsidRDefault="00D929AA" w:rsidP="00B92418">
      <w:r>
        <w:separator/>
      </w:r>
    </w:p>
  </w:endnote>
  <w:endnote w:type="continuationSeparator" w:id="0">
    <w:p w:rsidR="00D929AA" w:rsidRDefault="00D929AA" w:rsidP="00B9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AA" w:rsidRDefault="00D929AA" w:rsidP="00B92418">
      <w:r>
        <w:separator/>
      </w:r>
    </w:p>
  </w:footnote>
  <w:footnote w:type="continuationSeparator" w:id="0">
    <w:p w:rsidR="00D929AA" w:rsidRDefault="00D929AA" w:rsidP="00B9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D5"/>
    <w:rsid w:val="000009A2"/>
    <w:rsid w:val="00023C9D"/>
    <w:rsid w:val="000364D4"/>
    <w:rsid w:val="000E7E71"/>
    <w:rsid w:val="001153D5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2418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929AA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2020-07-24T02:11:00Z</dcterms:created>
  <dcterms:modified xsi:type="dcterms:W3CDTF">2020-07-24T02:11:00Z</dcterms:modified>
</cp:coreProperties>
</file>