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r>
        <w:rPr>
          <w:rFonts w:hint="eastAsia" w:ascii="仿宋_GB2312" w:cs="仿宋_GB2312"/>
        </w:rPr>
        <w:t>豫科协发</w:t>
      </w:r>
      <w:r>
        <w:rPr>
          <w:rFonts w:hint="eastAsia" w:ascii="仿宋_GB2312" w:hAnsi="宋体" w:cs="仿宋_GB2312"/>
        </w:rPr>
        <w:t>〔</w:t>
      </w:r>
      <w:r>
        <w:rPr>
          <w:rFonts w:ascii="仿宋_GB2312" w:cs="仿宋_GB2312"/>
        </w:rPr>
        <w:t>202</w:t>
      </w:r>
      <w:r>
        <w:rPr>
          <w:rFonts w:hint="eastAsia" w:ascii="仿宋_GB2312" w:cs="仿宋_GB2312"/>
        </w:rPr>
        <w:t>2</w:t>
      </w:r>
      <w:r>
        <w:rPr>
          <w:rFonts w:hint="eastAsia" w:ascii="仿宋_GB2312" w:hAnsi="宋体" w:cs="仿宋_GB2312"/>
        </w:rPr>
        <w:t>〕64</w:t>
      </w:r>
      <w:r>
        <w:rPr>
          <w:rFonts w:hint="eastAsia" w:ascii="仿宋_GB2312" w:cs="仿宋_GB2312"/>
        </w:rPr>
        <w:t>号</w:t>
      </w:r>
    </w:p>
    <w:p>
      <w:pPr>
        <w:jc w:val="center"/>
        <w:rPr>
          <w:rFonts w:ascii="仿宋_GB2312"/>
        </w:rPr>
      </w:pPr>
    </w:p>
    <w:p>
      <w:pPr>
        <w:jc w:val="center"/>
        <w:rPr>
          <w:rFonts w:ascii="仿宋_GB2312"/>
        </w:rPr>
      </w:pPr>
    </w:p>
    <w:p>
      <w:pPr>
        <w:widowControl w:val="0"/>
        <w:overflowPunct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河南省科协关于申报2023年度</w:t>
      </w:r>
    </w:p>
    <w:p>
      <w:pPr>
        <w:widowControl w:val="0"/>
        <w:overflowPunct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河南科技智库调研课题的通知</w:t>
      </w:r>
    </w:p>
    <w:p>
      <w:pPr>
        <w:widowControl w:val="0"/>
        <w:overflowPunct w:val="0"/>
        <w:spacing w:line="600" w:lineRule="exact"/>
        <w:rPr>
          <w:rFonts w:ascii="仿宋_GB2312" w:hAnsi="仿宋_GB2312" w:cs="仿宋_GB2312"/>
        </w:rPr>
      </w:pPr>
    </w:p>
    <w:p>
      <w:pPr>
        <w:widowControl w:val="0"/>
        <w:overflowPunct w:val="0"/>
        <w:spacing w:line="600" w:lineRule="exact"/>
      </w:pPr>
      <w:r>
        <w:rPr>
          <w:rFonts w:hint="eastAsia"/>
        </w:rPr>
        <w:t>各全省学会、协会、研究会，各省辖市及济源示范区科协，各高等院校、科研院所，各有关单位：</w:t>
      </w:r>
    </w:p>
    <w:p>
      <w:pPr>
        <w:widowControl w:val="0"/>
        <w:overflowPunct w:val="0"/>
        <w:spacing w:line="600" w:lineRule="exact"/>
        <w:ind w:firstLine="640" w:firstLineChars="200"/>
        <w:rPr>
          <w:bCs/>
        </w:rPr>
      </w:pPr>
      <w:r>
        <w:rPr>
          <w:rFonts w:hint="eastAsia"/>
        </w:rPr>
        <w:t>为贯彻落实省第十一次党代会精神，</w:t>
      </w:r>
      <w:bookmarkStart w:id="0" w:name="_Hlk86586041"/>
      <w:r>
        <w:rPr>
          <w:rFonts w:hint="eastAsia"/>
        </w:rPr>
        <w:t>组织动员广大科技工作者紧紧围绕省委、省政府中心工作，开展战略性、前瞻性、针对性决策咨询研究，提出专业化、建设性的决策建议，</w:t>
      </w:r>
      <w:r>
        <w:rPr>
          <w:bCs/>
        </w:rPr>
        <w:t>助推河南经济社会高质量发展</w:t>
      </w:r>
      <w:bookmarkEnd w:id="0"/>
      <w:r>
        <w:rPr>
          <w:rFonts w:hint="eastAsia"/>
          <w:bCs/>
        </w:rPr>
        <w:t>，省科协在广泛征集和专家论证的基础上，形成《2023年度河南科技智库调研课题选题目录》（以下简称选题目录，详见附件），现予公布并就申报事项通知如下：</w:t>
      </w:r>
    </w:p>
    <w:p>
      <w:pPr>
        <w:widowControl w:val="0"/>
        <w:overflowPunct w:val="0"/>
        <w:spacing w:line="600" w:lineRule="exact"/>
        <w:ind w:firstLine="640" w:firstLineChars="200"/>
        <w:rPr>
          <w:rFonts w:ascii="黑体" w:hAnsi="黑体" w:eastAsia="黑体"/>
        </w:rPr>
      </w:pPr>
      <w:r>
        <w:rPr>
          <w:rFonts w:hint="eastAsia" w:ascii="黑体" w:hAnsi="黑体" w:eastAsia="黑体"/>
        </w:rPr>
        <w:t>一、课题类别</w:t>
      </w:r>
    </w:p>
    <w:p>
      <w:pPr>
        <w:widowControl w:val="0"/>
        <w:overflowPunct w:val="0"/>
        <w:spacing w:line="600" w:lineRule="exact"/>
        <w:ind w:firstLine="640" w:firstLineChars="200"/>
      </w:pPr>
      <w:r>
        <w:rPr>
          <w:rFonts w:hint="eastAsia"/>
        </w:rPr>
        <w:t>2</w:t>
      </w:r>
      <w:r>
        <w:t>02</w:t>
      </w:r>
      <w:r>
        <w:rPr>
          <w:rFonts w:hint="eastAsia"/>
        </w:rPr>
        <w:t>3年度河南科技智库调研课题分为重点课题和一般课题两大类，课题研究周期原则上为6至8个月。其中，重点课题须按照选题目录中指定的题目和研究要点进行申报，不得自行调整课题名称和研究要点；一般课题须参照选题目录指定研究范围，自行确定研究题目。不接受纯技术研发类课题申报。</w:t>
      </w:r>
    </w:p>
    <w:p>
      <w:pPr>
        <w:widowControl w:val="0"/>
        <w:overflowPunct w:val="0"/>
        <w:spacing w:line="600" w:lineRule="exact"/>
        <w:ind w:firstLine="640" w:firstLineChars="200"/>
        <w:rPr>
          <w:rFonts w:ascii="黑体" w:hAnsi="黑体" w:eastAsia="黑体"/>
        </w:rPr>
      </w:pPr>
      <w:r>
        <w:rPr>
          <w:rFonts w:hint="eastAsia" w:ascii="黑体" w:hAnsi="黑体" w:eastAsia="黑体"/>
        </w:rPr>
        <w:t>二、申报资格</w:t>
      </w:r>
    </w:p>
    <w:p>
      <w:pPr>
        <w:widowControl w:val="0"/>
        <w:overflowPunct w:val="0"/>
        <w:spacing w:line="600" w:lineRule="exact"/>
        <w:ind w:firstLine="640" w:firstLineChars="200"/>
      </w:pPr>
      <w:r>
        <w:rPr>
          <w:rFonts w:hint="eastAsia"/>
        </w:rPr>
        <w:t>（一）在河南省境内设立、登记、注册的具有独立法人资格和独立财务账户，且具备开展课题研究所需人力和物质条件的高等院校、科研机构、企事业单位和社会团体等均可申报。不接受个人直接申报。</w:t>
      </w:r>
    </w:p>
    <w:p>
      <w:pPr>
        <w:widowControl w:val="0"/>
        <w:overflowPunct w:val="0"/>
        <w:spacing w:line="600" w:lineRule="exact"/>
        <w:ind w:firstLine="640" w:firstLineChars="200"/>
      </w:pPr>
      <w:r>
        <w:rPr>
          <w:rFonts w:hint="eastAsia"/>
        </w:rPr>
        <w:t>（二）课题研究团队须同时具备以下基本条件：团队所有成员遵纪守法，无不良学术记录；课题负责人具有从事决策咨询课题研究的经历，且未承担河南科技智库在研课题；团队成员熟悉相关公共政策，有与课题相关技术领域的知识积累和研究基础。鼓励“政产学研金服用”相关单位科技工作者联合组建团队，通过所在省级学会或省辖市科协进行申报。</w:t>
      </w:r>
    </w:p>
    <w:p>
      <w:pPr>
        <w:widowControl w:val="0"/>
        <w:overflowPunct w:val="0"/>
        <w:spacing w:line="600" w:lineRule="exact"/>
        <w:ind w:firstLine="640" w:firstLineChars="200"/>
        <w:rPr>
          <w:rFonts w:hint="eastAsia"/>
        </w:rPr>
      </w:pPr>
      <w:r>
        <w:rPr>
          <w:rFonts w:hint="eastAsia"/>
        </w:rPr>
        <w:t>（三）申报重点课题的负责人应具备以下条件：具有副高级及以上专业技术职务或相应的行政职务；牵头起草的决策咨询报告曾获得省级及以上领导肯定性批示，或被省级及以上党委政府部门采纳应用。</w:t>
      </w:r>
    </w:p>
    <w:p>
      <w:pPr>
        <w:pStyle w:val="2"/>
        <w:spacing w:after="0" w:line="600" w:lineRule="exact"/>
        <w:ind w:firstLine="630"/>
        <w:rPr>
          <w:rFonts w:hint="eastAsia" w:eastAsia="仿宋_GB2312"/>
          <w:sz w:val="32"/>
          <w:szCs w:val="32"/>
        </w:rPr>
      </w:pPr>
      <w:r>
        <w:rPr>
          <w:rFonts w:hint="eastAsia" w:eastAsia="仿宋_GB2312"/>
          <w:sz w:val="32"/>
          <w:szCs w:val="32"/>
        </w:rPr>
        <w:t>（四）申报一般课题的负责人应具备以下条件：40周岁以下</w:t>
      </w:r>
    </w:p>
    <w:p>
      <w:pPr>
        <w:spacing w:line="600" w:lineRule="exact"/>
        <w:jc w:val="distribute"/>
      </w:pPr>
      <w:r>
        <w:rPr>
          <w:rFonts w:hint="eastAsia"/>
        </w:rPr>
        <w:t>（1981年9月30日以后出生）；具有中级及以上专业技术职称</w:t>
      </w:r>
    </w:p>
    <w:p>
      <w:pPr>
        <w:pStyle w:val="2"/>
        <w:spacing w:after="0" w:line="600" w:lineRule="exact"/>
        <w:rPr>
          <w:rFonts w:eastAsia="仿宋_GB2312"/>
          <w:sz w:val="32"/>
          <w:szCs w:val="32"/>
        </w:rPr>
      </w:pPr>
      <w:r>
        <w:rPr>
          <w:rFonts w:hint="eastAsia" w:eastAsia="仿宋_GB2312"/>
          <w:sz w:val="32"/>
          <w:szCs w:val="32"/>
        </w:rPr>
        <w:t>或具有博士学位。</w:t>
      </w:r>
    </w:p>
    <w:p>
      <w:pPr>
        <w:widowControl w:val="0"/>
        <w:overflowPunct w:val="0"/>
        <w:spacing w:line="600" w:lineRule="exact"/>
        <w:ind w:firstLine="640" w:firstLineChars="200"/>
        <w:rPr>
          <w:rFonts w:ascii="黑体" w:hAnsi="黑体" w:eastAsia="黑体"/>
        </w:rPr>
      </w:pPr>
      <w:r>
        <w:rPr>
          <w:rFonts w:hint="eastAsia" w:ascii="黑体" w:hAnsi="黑体" w:eastAsia="黑体"/>
        </w:rPr>
        <w:t>三、申报要求</w:t>
      </w:r>
    </w:p>
    <w:p>
      <w:pPr>
        <w:widowControl w:val="0"/>
        <w:overflowPunct w:val="0"/>
        <w:spacing w:line="600" w:lineRule="exact"/>
        <w:ind w:firstLine="640" w:firstLineChars="200"/>
      </w:pPr>
      <w:r>
        <w:rPr>
          <w:rFonts w:hint="eastAsia"/>
        </w:rPr>
        <w:t>（一）课题统一实行网上申报。申报单位需登录河南省科协官网，点击“网上服务”版块，进入“河南省科协专项资金项目管理服务平台”，组织课题组在线填报《课题申报书》，并统一提交省科协审核。尚未在该平台注册过的单位需先完成单位信息在线注册后，方可登录平台进行申报。</w:t>
      </w:r>
    </w:p>
    <w:p>
      <w:pPr>
        <w:widowControl w:val="0"/>
        <w:overflowPunct w:val="0"/>
        <w:spacing w:line="600" w:lineRule="exact"/>
        <w:ind w:firstLine="640" w:firstLineChars="200"/>
      </w:pPr>
      <w:r>
        <w:rPr>
          <w:rFonts w:hint="eastAsia"/>
        </w:rPr>
        <w:t>（二）省科协所属省级学会、成立科协组织的高等院校和设立科技工作者调查站点的单位课题申报数量不超过10项，其他单位不超过5项。课题负责人只能申报一个课题，团队所有成员最多只能同时参加两个课题。</w:t>
      </w:r>
    </w:p>
    <w:p>
      <w:pPr>
        <w:widowControl w:val="0"/>
        <w:overflowPunct w:val="0"/>
        <w:spacing w:line="600" w:lineRule="exact"/>
        <w:ind w:firstLine="640" w:firstLineChars="200"/>
      </w:pPr>
      <w:r>
        <w:rPr>
          <w:rFonts w:hint="eastAsia"/>
        </w:rPr>
        <w:t>（三）省科协初审通过后，申报单位应从服务平台下载并打印由系统生成的申报材料，一式7份（A4纸双面打印，左侧装订并加盖单位公章，装订必须符合存档要求，不允许用塑料夹、皮包装）统一邮寄至省科协人才发展中心，同时扫描成PDF文档发送至hnskjzk@163.com，不接收个人报送。</w:t>
      </w:r>
    </w:p>
    <w:p>
      <w:pPr>
        <w:widowControl w:val="0"/>
        <w:overflowPunct w:val="0"/>
        <w:spacing w:line="600" w:lineRule="exact"/>
        <w:ind w:firstLine="640" w:firstLineChars="200"/>
      </w:pPr>
      <w:r>
        <w:rPr>
          <w:rFonts w:hint="eastAsia"/>
        </w:rPr>
        <w:t>（四）申报截止时间为2022年10月20日下午16：00，以收到纸质材料为准，</w:t>
      </w:r>
      <w:bookmarkStart w:id="1" w:name="_Hlk86532492"/>
      <w:r>
        <w:rPr>
          <w:rFonts w:hint="eastAsia"/>
        </w:rPr>
        <w:t>逾期送达，不予受理</w:t>
      </w:r>
      <w:bookmarkEnd w:id="1"/>
      <w:r>
        <w:rPr>
          <w:rFonts w:hint="eastAsia"/>
        </w:rPr>
        <w:t>。</w:t>
      </w:r>
    </w:p>
    <w:p>
      <w:pPr>
        <w:widowControl w:val="0"/>
        <w:overflowPunct w:val="0"/>
        <w:spacing w:line="600" w:lineRule="exact"/>
        <w:ind w:firstLine="640" w:firstLineChars="200"/>
        <w:rPr>
          <w:rFonts w:ascii="黑体" w:hAnsi="黑体" w:eastAsia="黑体"/>
        </w:rPr>
      </w:pPr>
      <w:r>
        <w:rPr>
          <w:rFonts w:hint="eastAsia" w:ascii="黑体" w:hAnsi="黑体" w:eastAsia="黑体"/>
        </w:rPr>
        <w:t>四、课题管理</w:t>
      </w:r>
    </w:p>
    <w:p>
      <w:pPr>
        <w:widowControl w:val="0"/>
        <w:overflowPunct w:val="0"/>
        <w:spacing w:line="600" w:lineRule="exact"/>
        <w:ind w:firstLine="640" w:firstLineChars="200"/>
        <w:rPr>
          <w:rFonts w:ascii="楷体_GB2312" w:eastAsia="楷体_GB2312"/>
        </w:rPr>
      </w:pPr>
      <w:r>
        <w:rPr>
          <w:rFonts w:hint="eastAsia" w:ascii="楷体_GB2312" w:eastAsia="楷体_GB2312"/>
        </w:rPr>
        <w:t>（一）课题立项</w:t>
      </w:r>
    </w:p>
    <w:p>
      <w:pPr>
        <w:widowControl w:val="0"/>
        <w:overflowPunct w:val="0"/>
        <w:spacing w:line="600" w:lineRule="exact"/>
        <w:ind w:firstLine="640" w:firstLineChars="200"/>
      </w:pPr>
      <w:r>
        <w:rPr>
          <w:rFonts w:hint="eastAsia"/>
        </w:rPr>
        <w:t>1．申报工作结束后，省科协组织有关专家对申报课题进行集中评审，择优确定课题承担单位。其中，重点课题视情况可采取课题负责人答辩的方式进行。</w:t>
      </w:r>
    </w:p>
    <w:p>
      <w:pPr>
        <w:widowControl w:val="0"/>
        <w:overflowPunct w:val="0"/>
        <w:spacing w:line="600" w:lineRule="exact"/>
        <w:ind w:firstLine="640" w:firstLineChars="200"/>
      </w:pPr>
      <w:r>
        <w:rPr>
          <w:rFonts w:hint="eastAsia"/>
        </w:rPr>
        <w:t>2．申报课题确定立项后，省科协与课题承担单位签订《河南科技智库调研课题任务书》（以下简称课题任务书），作为课题实施、工作推动、验收结项的基本依据。</w:t>
      </w:r>
    </w:p>
    <w:p>
      <w:pPr>
        <w:widowControl w:val="0"/>
        <w:overflowPunct w:val="0"/>
        <w:spacing w:line="600" w:lineRule="exact"/>
        <w:ind w:firstLine="640" w:firstLineChars="200"/>
        <w:rPr>
          <w:rFonts w:ascii="楷体_GB2312" w:eastAsia="楷体_GB2312"/>
        </w:rPr>
      </w:pPr>
      <w:r>
        <w:rPr>
          <w:rFonts w:hint="eastAsia" w:ascii="楷体_GB2312" w:eastAsia="楷体_GB2312"/>
        </w:rPr>
        <w:t>（二）过程管理</w:t>
      </w:r>
    </w:p>
    <w:p>
      <w:pPr>
        <w:widowControl w:val="0"/>
        <w:overflowPunct w:val="0"/>
        <w:spacing w:line="600" w:lineRule="exact"/>
        <w:ind w:firstLine="640" w:firstLineChars="200"/>
      </w:pPr>
      <w:r>
        <w:rPr>
          <w:rFonts w:hint="eastAsia"/>
        </w:rPr>
        <w:t>1．经批准立项的课题，课题负责人须严格按照课题任务书填报的内容执行，注重实例分析，突出调查和对策分析，确保取得详实的调研数据和一手的案例素材。对于立项的重点项目，省科协将通过组织召开开题评审会、中期评审会、临时抽查、重点督查等方式，对课题研究过程进行监管。</w:t>
      </w:r>
    </w:p>
    <w:p>
      <w:pPr>
        <w:widowControl w:val="0"/>
        <w:overflowPunct w:val="0"/>
        <w:spacing w:line="600" w:lineRule="exact"/>
        <w:ind w:firstLine="640" w:firstLineChars="200"/>
      </w:pPr>
      <w:r>
        <w:t>2</w:t>
      </w:r>
      <w:r>
        <w:rPr>
          <w:rFonts w:hint="eastAsia"/>
        </w:rPr>
        <w:t>．课题组不得随意变更研究计划。因故确需对研究计划作重要调整、变更或终止研究的，课题承担单位应及时向省科协递交书面报告，经批准后方可实施。其中，由于客观原因不能按期完成的，项目负责人可以申请延期1次。申请延长的时限不得超过2个月，申请应当于研究期满前30日提出。</w:t>
      </w:r>
    </w:p>
    <w:p>
      <w:pPr>
        <w:widowControl w:val="0"/>
        <w:overflowPunct w:val="0"/>
        <w:spacing w:line="600" w:lineRule="exact"/>
        <w:ind w:firstLine="640" w:firstLineChars="200"/>
        <w:rPr>
          <w:rFonts w:ascii="楷体_GB2312" w:eastAsia="楷体_GB2312"/>
        </w:rPr>
      </w:pPr>
      <w:r>
        <w:rPr>
          <w:rFonts w:hint="eastAsia" w:ascii="楷体_GB2312" w:eastAsia="楷体_GB2312"/>
        </w:rPr>
        <w:t>（三）结项管理</w:t>
      </w:r>
    </w:p>
    <w:p>
      <w:pPr>
        <w:widowControl w:val="0"/>
        <w:overflowPunct w:val="0"/>
        <w:spacing w:line="600" w:lineRule="exact"/>
        <w:ind w:firstLine="640" w:firstLineChars="200"/>
      </w:pPr>
      <w:r>
        <w:rPr>
          <w:rFonts w:hint="eastAsia"/>
        </w:rPr>
        <w:t>1．课题结项约束性成果为1份3万字以上的课题研究报告和至少1篇</w:t>
      </w:r>
      <w:r>
        <w:t>3</w:t>
      </w:r>
      <w:r>
        <w:rPr>
          <w:rFonts w:hint="eastAsia"/>
        </w:rPr>
        <w:t>000字左右的决策建议（重点课题不少于2篇）。提交的课题研究报告和决策建议要有详实的调研数据或实证分析，所提的对策建议要有针对性和可操作性，以服务党委政府科学决策为目的，严禁单纯的文献摘抄和堆砌。其中，决策建议应按照现状（成绩）、存在问题及原因分析、对策建议（占篇幅的60%左右）三部分撰写。除任务书另有约定外，课题成果归省科协所有。</w:t>
      </w:r>
    </w:p>
    <w:p>
      <w:pPr>
        <w:widowControl w:val="0"/>
        <w:overflowPunct w:val="0"/>
        <w:spacing w:line="600" w:lineRule="exact"/>
        <w:ind w:firstLine="640" w:firstLineChars="200"/>
      </w:pPr>
      <w:r>
        <w:rPr>
          <w:rFonts w:hint="eastAsia"/>
        </w:rPr>
        <w:t>2．鼓励重点课题承担单位及研究团队围绕课题研究内容举办智库论坛或专家论证会，以充实完善课题研究内容，提升课题研究成果质量；鼓励一般课题研究团队在公开刊物发表与课题研究内容相关的文章，以提升课题研究工作的社会影响力，扩大课题研究成果的应用范围。</w:t>
      </w:r>
    </w:p>
    <w:p>
      <w:pPr>
        <w:widowControl w:val="0"/>
        <w:overflowPunct w:val="0"/>
        <w:spacing w:line="600" w:lineRule="exact"/>
        <w:ind w:firstLine="640" w:firstLineChars="200"/>
      </w:pPr>
      <w:r>
        <w:t>3</w:t>
      </w:r>
      <w:r>
        <w:rPr>
          <w:rFonts w:hint="eastAsia"/>
        </w:rPr>
        <w:t>．省科协根据课题研究周期安排结题验收时间，课题承担单位须在通知时限内提交结题申请。省科协视课题具体情况，组织专家现场听取课题总结汇报，评出“优秀”“良好”“合格”“不合格”四个结项等次，或根据课题书面总结材料评定结项等次。</w:t>
      </w:r>
    </w:p>
    <w:p>
      <w:pPr>
        <w:widowControl w:val="0"/>
        <w:overflowPunct w:val="0"/>
        <w:spacing w:line="600" w:lineRule="exact"/>
        <w:ind w:firstLine="640" w:firstLineChars="200"/>
      </w:pPr>
      <w:r>
        <w:t>4</w:t>
      </w:r>
      <w:r>
        <w:rPr>
          <w:rFonts w:hint="eastAsia"/>
        </w:rPr>
        <w:t>．课题验收合格后，按以下程序办理结项手续：课题承担单位将项目总报告、决策建议、工作总结、经费开支情况证明等汇总成册报送省科协；省科协参照评审专家意见，对项目材料进行验收；省科协对</w:t>
      </w:r>
      <w:r>
        <w:rPr>
          <w:rFonts w:hint="default"/>
          <w:lang w:val="en"/>
        </w:rPr>
        <w:t>结项</w:t>
      </w:r>
      <w:r>
        <w:rPr>
          <w:rFonts w:hint="eastAsia"/>
        </w:rPr>
        <w:t>评审合格，同时材料报送合格的课题组颁发结项证书。</w:t>
      </w:r>
    </w:p>
    <w:p>
      <w:pPr>
        <w:overflowPunct w:val="0"/>
        <w:spacing w:line="600" w:lineRule="exact"/>
        <w:ind w:firstLine="640" w:firstLineChars="200"/>
      </w:pPr>
      <w:r>
        <w:t>5</w:t>
      </w:r>
      <w:r>
        <w:rPr>
          <w:rFonts w:hint="eastAsia"/>
        </w:rPr>
        <w:t>．被评为“不合格”的项目，课题研究团队应根据评审意见进行最长2个月的限期整改，整改结束后申请省科协组织专家重新验收，所需的相关费用由项目研究团队承担。未限期整改或整改后仍未通过结题评审的课题负责人，3年内不受理其课题申报。</w:t>
      </w:r>
    </w:p>
    <w:p>
      <w:pPr>
        <w:widowControl w:val="0"/>
        <w:overflowPunct w:val="0"/>
        <w:spacing w:line="600" w:lineRule="exact"/>
        <w:ind w:firstLine="640" w:firstLineChars="200"/>
        <w:rPr>
          <w:rFonts w:ascii="黑体" w:hAnsi="黑体" w:eastAsia="黑体"/>
        </w:rPr>
      </w:pPr>
      <w:r>
        <w:rPr>
          <w:rFonts w:hint="eastAsia" w:ascii="黑体" w:hAnsi="黑体" w:eastAsia="黑体"/>
        </w:rPr>
        <w:t>五、课题经费</w:t>
      </w:r>
    </w:p>
    <w:p>
      <w:pPr>
        <w:widowControl w:val="0"/>
        <w:overflowPunct w:val="0"/>
        <w:spacing w:line="600" w:lineRule="exact"/>
        <w:ind w:firstLine="640" w:firstLineChars="200"/>
      </w:pPr>
      <w:bookmarkStart w:id="2" w:name="_Hlk86553500"/>
      <w:r>
        <w:rPr>
          <w:rFonts w:hint="eastAsia"/>
        </w:rPr>
        <w:t>（一）对于批准立项的重点课题，省科协根据资金情况、立项数量及专家评审意见，予以每个课题10至15万元的经费资助额度。其中，立项后拨付资助额度的60%；结项被评为“优秀”等次的课题，拨付剩余全部经费；结项被评为“良好”等次的课题，拨付剩余经费的5</w:t>
      </w:r>
      <w:r>
        <w:t>0%</w:t>
      </w:r>
      <w:r>
        <w:rPr>
          <w:rFonts w:hint="eastAsia"/>
        </w:rPr>
        <w:t>；结项被评为“合格”和“不合格”等次的课题，不再拨付剩余经费。</w:t>
      </w:r>
    </w:p>
    <w:bookmarkEnd w:id="2"/>
    <w:p>
      <w:pPr>
        <w:widowControl w:val="0"/>
        <w:overflowPunct w:val="0"/>
        <w:spacing w:line="600" w:lineRule="exact"/>
        <w:ind w:firstLine="640" w:firstLineChars="200"/>
      </w:pPr>
      <w:r>
        <w:rPr>
          <w:rFonts w:hint="eastAsia"/>
        </w:rPr>
        <w:t>（二）对于批准立项的一般课题，省科协视结项评价等次采取后补助的方式予以支持。被评为“优秀”等次的课题，补助经费2万元；被评为“良好”等次的课题，补助经费1万元；被评为“合格”或“不合格”等次的课题，不予以补助。</w:t>
      </w:r>
    </w:p>
    <w:p>
      <w:pPr>
        <w:widowControl w:val="0"/>
        <w:overflowPunct w:val="0"/>
        <w:spacing w:line="600" w:lineRule="exact"/>
        <w:ind w:firstLine="640" w:firstLineChars="200"/>
      </w:pPr>
      <w:r>
        <w:rPr>
          <w:rFonts w:hint="eastAsia"/>
        </w:rPr>
        <w:t>（三）课题经费使用范围、具体要求及间接费用比例按照《中共河南省委办公厅 河南省人民政府办公厅〈关于进一步完善省级财政科研项目资金管理等政策的若干意见〉的通知》（豫办〔2017〕7号）及相关财务管理规定执行。</w:t>
      </w:r>
    </w:p>
    <w:p>
      <w:pPr>
        <w:widowControl w:val="0"/>
        <w:overflowPunct w:val="0"/>
        <w:spacing w:line="600" w:lineRule="exact"/>
        <w:ind w:firstLine="640" w:firstLineChars="200"/>
        <w:rPr>
          <w:rFonts w:ascii="黑体" w:hAnsi="黑体" w:eastAsia="黑体"/>
        </w:rPr>
      </w:pPr>
      <w:r>
        <w:rPr>
          <w:rFonts w:hint="eastAsia" w:ascii="黑体" w:hAnsi="黑体" w:eastAsia="黑体"/>
        </w:rPr>
        <w:t>六、联系方式</w:t>
      </w:r>
    </w:p>
    <w:p>
      <w:pPr>
        <w:pStyle w:val="8"/>
        <w:spacing w:beforeAutospacing="0" w:afterAutospacing="0" w:line="600" w:lineRule="exact"/>
        <w:rPr>
          <w:kern w:val="2"/>
          <w:sz w:val="32"/>
        </w:rPr>
      </w:pPr>
      <w:r>
        <w:rPr>
          <w:rFonts w:hint="eastAsia"/>
          <w:kern w:val="2"/>
          <w:sz w:val="32"/>
        </w:rPr>
        <w:t>　　省科协调研宣传部</w:t>
      </w:r>
    </w:p>
    <w:p>
      <w:pPr>
        <w:pStyle w:val="8"/>
        <w:spacing w:beforeAutospacing="0" w:afterAutospacing="0" w:line="600" w:lineRule="exact"/>
        <w:rPr>
          <w:kern w:val="2"/>
          <w:sz w:val="32"/>
        </w:rPr>
      </w:pPr>
      <w:r>
        <w:rPr>
          <w:rFonts w:hint="default"/>
          <w:kern w:val="2"/>
          <w:sz w:val="32"/>
          <w:lang w:val="en"/>
        </w:rPr>
        <w:t xml:space="preserve">    </w:t>
      </w:r>
      <w:r>
        <w:rPr>
          <w:rFonts w:hint="eastAsia"/>
          <w:kern w:val="2"/>
          <w:sz w:val="32"/>
        </w:rPr>
        <w:t>联系人：刘创举</w:t>
      </w:r>
    </w:p>
    <w:p>
      <w:pPr>
        <w:pStyle w:val="8"/>
        <w:spacing w:beforeAutospacing="0" w:afterAutospacing="0" w:line="600" w:lineRule="exact"/>
        <w:ind w:firstLine="640"/>
        <w:rPr>
          <w:kern w:val="2"/>
          <w:sz w:val="32"/>
        </w:rPr>
      </w:pPr>
      <w:r>
        <w:rPr>
          <w:rFonts w:hint="eastAsia"/>
          <w:kern w:val="2"/>
          <w:sz w:val="32"/>
        </w:rPr>
        <w:t>电话：0371-65707156</w:t>
      </w:r>
    </w:p>
    <w:p>
      <w:pPr>
        <w:pStyle w:val="8"/>
        <w:spacing w:beforeAutospacing="0" w:afterAutospacing="0" w:line="600" w:lineRule="exact"/>
        <w:ind w:firstLine="640"/>
        <w:rPr>
          <w:kern w:val="2"/>
          <w:sz w:val="32"/>
        </w:rPr>
      </w:pPr>
      <w:r>
        <w:rPr>
          <w:rFonts w:hint="eastAsia"/>
          <w:kern w:val="2"/>
          <w:sz w:val="32"/>
        </w:rPr>
        <w:t>省科协人才发展中心</w:t>
      </w:r>
    </w:p>
    <w:p>
      <w:pPr>
        <w:pStyle w:val="8"/>
        <w:spacing w:beforeAutospacing="0" w:afterAutospacing="0" w:line="600" w:lineRule="exact"/>
        <w:ind w:firstLine="640"/>
        <w:rPr>
          <w:kern w:val="2"/>
          <w:sz w:val="32"/>
        </w:rPr>
      </w:pPr>
      <w:r>
        <w:rPr>
          <w:rFonts w:hint="eastAsia"/>
          <w:kern w:val="2"/>
          <w:sz w:val="32"/>
        </w:rPr>
        <w:t>联系人：刘纯燕  岳增辉</w:t>
      </w:r>
    </w:p>
    <w:p>
      <w:pPr>
        <w:pStyle w:val="8"/>
        <w:spacing w:beforeAutospacing="0" w:afterAutospacing="0" w:line="600" w:lineRule="exact"/>
        <w:ind w:firstLine="640"/>
        <w:rPr>
          <w:kern w:val="2"/>
          <w:sz w:val="32"/>
        </w:rPr>
      </w:pPr>
      <w:r>
        <w:rPr>
          <w:rFonts w:hint="eastAsia"/>
          <w:kern w:val="2"/>
          <w:sz w:val="32"/>
        </w:rPr>
        <w:t>电话：0371-65707792</w:t>
      </w:r>
    </w:p>
    <w:p>
      <w:pPr>
        <w:pStyle w:val="8"/>
        <w:spacing w:beforeAutospacing="0" w:afterAutospacing="0" w:line="600" w:lineRule="exact"/>
        <w:ind w:firstLine="640"/>
        <w:rPr>
          <w:kern w:val="2"/>
          <w:sz w:val="32"/>
        </w:rPr>
      </w:pPr>
      <w:r>
        <w:rPr>
          <w:rFonts w:hint="eastAsia"/>
          <w:kern w:val="2"/>
          <w:sz w:val="32"/>
        </w:rPr>
        <w:t>电子邮箱：hnskjzk@163.com</w:t>
      </w:r>
    </w:p>
    <w:p>
      <w:pPr>
        <w:pStyle w:val="8"/>
        <w:spacing w:beforeAutospacing="0" w:afterAutospacing="0" w:line="600" w:lineRule="exact"/>
        <w:ind w:firstLine="640"/>
        <w:rPr>
          <w:kern w:val="2"/>
          <w:sz w:val="32"/>
        </w:rPr>
      </w:pPr>
      <w:r>
        <w:rPr>
          <w:rFonts w:hint="eastAsia"/>
          <w:kern w:val="2"/>
          <w:sz w:val="32"/>
        </w:rPr>
        <w:t>地址：郑州市花园路53号4号楼2楼省科协人才发展中心</w:t>
      </w:r>
    </w:p>
    <w:p>
      <w:pPr>
        <w:pStyle w:val="8"/>
        <w:spacing w:beforeAutospacing="0" w:afterAutospacing="0" w:line="600" w:lineRule="exact"/>
        <w:ind w:firstLine="640"/>
        <w:rPr>
          <w:kern w:val="2"/>
          <w:sz w:val="32"/>
        </w:rPr>
      </w:pPr>
      <w:r>
        <w:rPr>
          <w:rFonts w:hint="eastAsia"/>
          <w:kern w:val="2"/>
          <w:sz w:val="32"/>
        </w:rPr>
        <w:t>邮编：450008</w:t>
      </w:r>
    </w:p>
    <w:p>
      <w:pPr>
        <w:widowControl w:val="0"/>
        <w:overflowPunct w:val="0"/>
        <w:spacing w:line="600" w:lineRule="exact"/>
      </w:pPr>
    </w:p>
    <w:p>
      <w:pPr>
        <w:widowControl w:val="0"/>
        <w:overflowPunct w:val="0"/>
        <w:spacing w:line="600" w:lineRule="exact"/>
        <w:ind w:firstLine="640" w:firstLineChars="200"/>
        <w:rPr>
          <w:bCs/>
        </w:rPr>
      </w:pPr>
      <w:r>
        <w:rPr>
          <w:rFonts w:hint="eastAsia"/>
        </w:rPr>
        <w:t>附件：</w:t>
      </w:r>
      <w:r>
        <w:rPr>
          <w:rFonts w:hint="eastAsia"/>
          <w:bCs/>
        </w:rPr>
        <w:t>2023年度河南科技智库调研课题选题目录</w:t>
      </w:r>
    </w:p>
    <w:p>
      <w:pPr>
        <w:widowControl w:val="0"/>
        <w:overflowPunct w:val="0"/>
        <w:spacing w:line="600" w:lineRule="exact"/>
        <w:ind w:firstLine="640" w:firstLineChars="200"/>
        <w:rPr>
          <w:bCs/>
        </w:rPr>
      </w:pPr>
    </w:p>
    <w:p>
      <w:pPr>
        <w:pStyle w:val="2"/>
        <w:spacing w:after="0" w:line="600" w:lineRule="exact"/>
        <w:rPr>
          <w:bCs/>
        </w:rPr>
      </w:pPr>
    </w:p>
    <w:p>
      <w:pPr>
        <w:spacing w:line="600" w:lineRule="exact"/>
        <w:rPr>
          <w:bCs/>
        </w:rPr>
      </w:pPr>
    </w:p>
    <w:p>
      <w:pPr>
        <w:spacing w:line="600" w:lineRule="exact"/>
      </w:pPr>
    </w:p>
    <w:p>
      <w:pPr>
        <w:widowControl w:val="0"/>
        <w:overflowPunct w:val="0"/>
        <w:spacing w:line="600" w:lineRule="exact"/>
        <w:ind w:firstLine="5120" w:firstLineChars="1600"/>
        <w:rPr>
          <w:bCs/>
        </w:rPr>
      </w:pPr>
      <w:r>
        <w:rPr>
          <w:rFonts w:hint="eastAsia"/>
          <w:bCs/>
        </w:rPr>
        <w:t>河南省科协</w:t>
      </w:r>
    </w:p>
    <w:p>
      <w:pPr>
        <w:widowControl w:val="0"/>
        <w:overflowPunct w:val="0"/>
        <w:spacing w:line="600" w:lineRule="exact"/>
        <w:ind w:firstLine="4640" w:firstLineChars="1450"/>
        <w:rPr>
          <w:bCs/>
        </w:rPr>
      </w:pPr>
      <w:r>
        <w:rPr>
          <w:bCs/>
        </w:rPr>
        <w:t>202</w:t>
      </w:r>
      <w:r>
        <w:rPr>
          <w:rFonts w:hint="eastAsia"/>
          <w:bCs/>
        </w:rPr>
        <w:t>2年9月29日</w:t>
      </w:r>
    </w:p>
    <w:p>
      <w:pPr>
        <w:widowControl w:val="0"/>
        <w:overflowPunct w:val="0"/>
        <w:rPr>
          <w:rFonts w:hint="eastAsia"/>
        </w:rPr>
      </w:pPr>
    </w:p>
    <w:p>
      <w:pPr>
        <w:widowControl w:val="0"/>
        <w:overflowPunct w:val="0"/>
        <w:rPr>
          <w:rFonts w:hint="eastAsia"/>
        </w:rPr>
      </w:pPr>
    </w:p>
    <w:p>
      <w:pPr>
        <w:widowControl w:val="0"/>
        <w:overflowPunct w:val="0"/>
        <w:rPr>
          <w:rFonts w:hint="eastAsia"/>
        </w:rPr>
      </w:pPr>
    </w:p>
    <w:p>
      <w:pPr>
        <w:widowControl w:val="0"/>
        <w:overflowPunct w:val="0"/>
        <w:rPr>
          <w:rFonts w:hint="eastAsia"/>
        </w:rPr>
      </w:pPr>
    </w:p>
    <w:p>
      <w:pPr>
        <w:widowControl w:val="0"/>
        <w:overflowPunct w:val="0"/>
        <w:rPr>
          <w:rFonts w:hint="eastAsia"/>
        </w:rPr>
      </w:pPr>
    </w:p>
    <w:p>
      <w:pPr>
        <w:widowControl w:val="0"/>
        <w:overflowPunct w:val="0"/>
        <w:rPr>
          <w:rFonts w:hint="eastAsia"/>
        </w:rPr>
      </w:pPr>
    </w:p>
    <w:p>
      <w:pPr>
        <w:widowControl w:val="0"/>
        <w:overflowPunct w:val="0"/>
        <w:rPr>
          <w:rFonts w:hint="eastAsia"/>
        </w:rPr>
      </w:pPr>
    </w:p>
    <w:p>
      <w:pPr>
        <w:widowControl w:val="0"/>
        <w:overflowPunct w:val="0"/>
      </w:pPr>
      <w:r>
        <w:rPr>
          <w:rFonts w:hint="eastAsia"/>
        </w:rPr>
        <w:t>附件</w:t>
      </w:r>
    </w:p>
    <w:p>
      <w:pPr>
        <w:widowControl w:val="0"/>
        <w:overflowPunct w:val="0"/>
        <w:snapToGrid w:val="0"/>
        <w:jc w:val="center"/>
        <w:rPr>
          <w:rFonts w:hint="eastAsia" w:ascii="方正小标宋简体" w:eastAsia="方正小标宋简体"/>
          <w:bCs/>
          <w:sz w:val="44"/>
          <w:szCs w:val="44"/>
        </w:rPr>
      </w:pPr>
      <w:r>
        <w:rPr>
          <w:rFonts w:hint="eastAsia" w:ascii="方正小标宋简体" w:eastAsia="方正小标宋简体"/>
          <w:bCs/>
          <w:sz w:val="44"/>
          <w:szCs w:val="44"/>
        </w:rPr>
        <w:t>2023年度河南科技智库调研课题选题目录</w:t>
      </w:r>
    </w:p>
    <w:p>
      <w:pPr>
        <w:widowControl w:val="0"/>
        <w:overflowPunct w:val="0"/>
        <w:snapToGrid w:val="0"/>
        <w:ind w:firstLine="640" w:firstLineChars="200"/>
        <w:rPr>
          <w:rFonts w:hint="eastAsia" w:ascii="黑体" w:hAnsi="黑体" w:eastAsia="黑体"/>
        </w:rPr>
      </w:pPr>
    </w:p>
    <w:p>
      <w:pPr>
        <w:widowControl w:val="0"/>
        <w:overflowPunct w:val="0"/>
        <w:ind w:firstLine="640" w:firstLineChars="200"/>
      </w:pPr>
      <w:r>
        <w:rPr>
          <w:rFonts w:hint="eastAsia" w:ascii="黑体" w:hAnsi="黑体" w:eastAsia="黑体"/>
        </w:rPr>
        <w:t>一、重点课题</w:t>
      </w:r>
    </w:p>
    <w:p>
      <w:pPr>
        <w:widowControl w:val="0"/>
        <w:numPr>
          <w:ilvl w:val="0"/>
          <w:numId w:val="1"/>
        </w:numPr>
        <w:ind w:firstLine="640" w:firstLineChars="200"/>
      </w:pPr>
      <w:r>
        <w:rPr>
          <w:rFonts w:hint="eastAsia"/>
        </w:rPr>
        <w:t>河南加快打造枢纽经济新高地对策研究</w:t>
      </w:r>
    </w:p>
    <w:p>
      <w:pPr>
        <w:widowControl w:val="0"/>
        <w:ind w:firstLine="642" w:firstLineChars="200"/>
      </w:pPr>
      <w:r>
        <w:rPr>
          <w:rFonts w:hint="eastAsia" w:ascii="仿宋_GB2312" w:hAnsi="仿宋_GB2312" w:cs="仿宋_GB2312"/>
          <w:b/>
          <w:bCs/>
        </w:rPr>
        <w:t>研究要点：</w:t>
      </w:r>
      <w:r>
        <w:rPr>
          <w:rFonts w:hint="eastAsia" w:ascii="仿宋_GB2312" w:hAnsi="仿宋_GB2312" w:cs="仿宋_GB2312"/>
        </w:rPr>
        <w:t>通过文献研究、案例分析、走访调研、座谈交流等方式，深入了解我省枢纽体系建设及枢纽偏好型产业发展现状、短板问题，围绕推动交通区位优势向枢纽经济优势转变，研究未来一个时期全省枢纽经济发展的思路和对策，重点聚焦枢纽能级提升、物流提质发展、枢纽偏好型产业集群培育等方面深化研究，创新性提出有现实意义和可操作性的政策建议。</w:t>
      </w:r>
    </w:p>
    <w:p>
      <w:pPr>
        <w:widowControl w:val="0"/>
        <w:numPr>
          <w:ilvl w:val="0"/>
          <w:numId w:val="1"/>
        </w:numPr>
        <w:ind w:firstLine="640" w:firstLineChars="200"/>
      </w:pPr>
      <w:r>
        <w:rPr>
          <w:rFonts w:hint="eastAsia"/>
        </w:rPr>
        <w:t>河南培育发展新型消费对策研究</w:t>
      </w:r>
    </w:p>
    <w:p>
      <w:pPr>
        <w:widowControl w:val="0"/>
        <w:ind w:firstLine="642" w:firstLineChars="200"/>
        <w:rPr>
          <w:rFonts w:ascii="仿宋_GB2312" w:hAnsi="仿宋_GB2312" w:cs="仿宋_GB2312"/>
        </w:rPr>
      </w:pPr>
      <w:r>
        <w:rPr>
          <w:rFonts w:hint="eastAsia" w:ascii="仿宋_GB2312" w:hAnsi="仿宋_GB2312" w:cs="仿宋_GB2312"/>
          <w:b/>
          <w:bCs/>
        </w:rPr>
        <w:t>研究要点：</w:t>
      </w:r>
      <w:r>
        <w:rPr>
          <w:rFonts w:hint="eastAsia" w:ascii="仿宋_GB2312" w:hAnsi="仿宋_GB2312" w:cs="仿宋_GB2312"/>
        </w:rPr>
        <w:t>通过文献研究、案例分析、走访调研、座谈交流等方式，准确把握居民消费升级趋势，深入分析新型消费演进的内在逻辑及一般规律，立足河南发展实际，梳理分析河南培育新型消费的基础优势、进展成效、面临的困难问题，聚焦培育发展新业态新模式、深化线上线下融合、丰富消费场景、完善配套服务体系等方面，研究提出河南培育发展新型消费的政策建议。</w:t>
      </w:r>
    </w:p>
    <w:p>
      <w:pPr>
        <w:widowControl w:val="0"/>
        <w:numPr>
          <w:ilvl w:val="0"/>
          <w:numId w:val="1"/>
        </w:numPr>
        <w:ind w:firstLine="640" w:firstLineChars="200"/>
      </w:pPr>
      <w:r>
        <w:rPr>
          <w:rFonts w:hint="eastAsia"/>
        </w:rPr>
        <w:t>河南加快建设全国统一大市场路径和对策研究</w:t>
      </w:r>
    </w:p>
    <w:p>
      <w:pPr>
        <w:pStyle w:val="2"/>
        <w:widowControl w:val="0"/>
        <w:spacing w:after="0"/>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充分认识加快推进全国统一大市场建设的重要意义和具体任务，从制度规则、市场监管、商贸流通、城乡区域、基础设施等不同视角，分析河南加快建设全国统一大市场存在的主要问题，围绕公平竞争审查、现代市场监管体系建设、要素市场化改革、区域协同发展、市场交易平台和现代流通体系建设等提出有针对性的政策建议。</w:t>
      </w:r>
    </w:p>
    <w:p>
      <w:pPr>
        <w:widowControl w:val="0"/>
        <w:numPr>
          <w:ilvl w:val="0"/>
          <w:numId w:val="1"/>
        </w:numPr>
        <w:ind w:firstLine="640" w:firstLineChars="200"/>
      </w:pPr>
      <w:r>
        <w:t>国家粮食安全产业带建设的河南路径研究</w:t>
      </w:r>
    </w:p>
    <w:p>
      <w:pPr>
        <w:widowControl w:val="0"/>
        <w:ind w:firstLine="642" w:firstLineChars="200"/>
      </w:pPr>
      <w:r>
        <w:rPr>
          <w:rFonts w:hint="eastAsia"/>
          <w:b/>
          <w:bCs/>
        </w:rPr>
        <w:t>研究要点：</w:t>
      </w:r>
      <w:r>
        <w:t>准确把握国家粮食安全产业带核心要义，</w:t>
      </w:r>
      <w:r>
        <w:rPr>
          <w:rFonts w:hint="eastAsia"/>
        </w:rPr>
        <w:t>明晰</w:t>
      </w:r>
      <w:r>
        <w:t>国家粮食安全产业带与粮食生产核心区、粮食生产优势区、粮食生产功能区</w:t>
      </w:r>
      <w:r>
        <w:rPr>
          <w:rFonts w:hint="eastAsia"/>
        </w:rPr>
        <w:t>的</w:t>
      </w:r>
      <w:r>
        <w:t>重要区别，通过实地走访调研、文献资料研究、召开专题研讨会等方式</w:t>
      </w:r>
      <w:r>
        <w:rPr>
          <w:rFonts w:hint="eastAsia"/>
        </w:rPr>
        <w:t>，</w:t>
      </w:r>
      <w:r>
        <w:t>深入剖析我省在推进国家粮食安全产业带建设</w:t>
      </w:r>
      <w:r>
        <w:rPr>
          <w:rFonts w:hint="eastAsia"/>
        </w:rPr>
        <w:t>中</w:t>
      </w:r>
      <w:r>
        <w:t>取得的主要成绩，面临的主要挑战，从统筹安全和发展两个主题，全面提升粮食生产质量和效益</w:t>
      </w:r>
      <w:r>
        <w:rPr>
          <w:rFonts w:hint="eastAsia"/>
        </w:rPr>
        <w:t>等</w:t>
      </w:r>
      <w:r>
        <w:t>角度，提出</w:t>
      </w:r>
      <w:r>
        <w:rPr>
          <w:rFonts w:hint="eastAsia"/>
        </w:rPr>
        <w:t>河南建设</w:t>
      </w:r>
      <w:r>
        <w:t>国家粮食安全产业带</w:t>
      </w:r>
      <w:r>
        <w:rPr>
          <w:rFonts w:hint="eastAsia"/>
        </w:rPr>
        <w:t>的</w:t>
      </w:r>
      <w:r>
        <w:t>具体政策建议</w:t>
      </w:r>
      <w:r>
        <w:rPr>
          <w:rFonts w:hint="eastAsia"/>
        </w:rPr>
        <w:t>。</w:t>
      </w:r>
    </w:p>
    <w:p>
      <w:pPr>
        <w:widowControl w:val="0"/>
        <w:numPr>
          <w:ilvl w:val="0"/>
          <w:numId w:val="1"/>
        </w:numPr>
        <w:ind w:firstLine="640" w:firstLineChars="200"/>
      </w:pPr>
      <w:r>
        <w:rPr>
          <w:rFonts w:hint="eastAsia"/>
        </w:rPr>
        <w:t>河南加快建设全国技能人才高地对策研究</w:t>
      </w:r>
    </w:p>
    <w:p>
      <w:pPr>
        <w:widowControl w:val="0"/>
        <w:ind w:firstLine="642" w:firstLineChars="200"/>
      </w:pPr>
      <w:r>
        <w:rPr>
          <w:rFonts w:hint="eastAsia" w:ascii="仿宋_GB2312" w:hAnsi="仿宋_GB2312" w:cs="仿宋_GB2312"/>
          <w:b/>
          <w:bCs/>
        </w:rPr>
        <w:t>研究要点：</w:t>
      </w:r>
      <w:r>
        <w:rPr>
          <w:rFonts w:hint="eastAsia" w:ascii="仿宋_GB2312" w:hAnsi="仿宋_GB2312" w:cs="仿宋_GB2312"/>
        </w:rPr>
        <w:t>在准确掌握我省推进“人人持证、技能河南”建设重要部署的基础上，通过实地走访调研、文献资料研究、召开专题研讨会等方式，摸清我省技能人才基本状况，总结梳理国内外发达地区推动技能人才建设的经验及启示，分析我省技能人才建设存在的问题和不足，提出河南加快建设全国技能人才高地的对策建议。</w:t>
      </w:r>
    </w:p>
    <w:p>
      <w:pPr>
        <w:widowControl w:val="0"/>
        <w:numPr>
          <w:ilvl w:val="0"/>
          <w:numId w:val="1"/>
        </w:numPr>
        <w:ind w:firstLine="640" w:firstLineChars="200"/>
      </w:pPr>
      <w:r>
        <w:rPr>
          <w:rFonts w:hint="eastAsia"/>
        </w:rPr>
        <w:t xml:space="preserve">“双碳”目标下河南发展多元化储能对策研究  </w:t>
      </w:r>
    </w:p>
    <w:p>
      <w:pPr>
        <w:pStyle w:val="8"/>
        <w:spacing w:beforeAutospacing="0" w:afterAutospacing="0"/>
        <w:ind w:firstLine="642" w:firstLineChars="200"/>
        <w:rPr>
          <w:rFonts w:ascii="仿宋_GB2312" w:hAnsi="仿宋_GB2312" w:cs="仿宋_GB2312"/>
          <w:kern w:val="2"/>
          <w:sz w:val="32"/>
        </w:rPr>
      </w:pPr>
      <w:r>
        <w:rPr>
          <w:rFonts w:hint="eastAsia" w:ascii="仿宋_GB2312" w:hAnsi="仿宋_GB2312" w:cs="仿宋_GB2312"/>
          <w:b/>
          <w:bCs/>
          <w:sz w:val="32"/>
        </w:rPr>
        <w:t>研究要点：</w:t>
      </w:r>
      <w:r>
        <w:rPr>
          <w:rFonts w:hint="eastAsia" w:ascii="仿宋_GB2312" w:hAnsi="仿宋_GB2312" w:cs="仿宋_GB2312"/>
          <w:kern w:val="2"/>
          <w:sz w:val="32"/>
        </w:rPr>
        <w:t>通过实地走访调研、文献资料研究、召开专题研讨会等方式，比较当前我省发展抽水蓄能、压缩空气储能、飞轮储能、储热、储冷、储氢技术等不同技术路线的优劣之处，梳理总结近年来北上广深等发达省份发展多元化储能的主要做法和经验，分析研判我省存在的短板不足以及未来的侧重方向，提出我省发展多元化储能的具体政策建议。</w:t>
      </w:r>
    </w:p>
    <w:p>
      <w:pPr>
        <w:widowControl w:val="0"/>
        <w:numPr>
          <w:ilvl w:val="0"/>
          <w:numId w:val="1"/>
        </w:numPr>
        <w:ind w:firstLine="640" w:firstLineChars="200"/>
      </w:pPr>
      <w:r>
        <w:rPr>
          <w:rFonts w:hint="eastAsia"/>
        </w:rPr>
        <w:t>河南省加快数字化转型的对策研究</w:t>
      </w:r>
    </w:p>
    <w:p>
      <w:pPr>
        <w:pStyle w:val="8"/>
        <w:spacing w:beforeAutospacing="0" w:afterAutospacing="0"/>
        <w:ind w:firstLine="642" w:firstLineChars="200"/>
        <w:rPr>
          <w:rFonts w:ascii="仿宋_GB2312" w:hAnsi="仿宋_GB2312" w:cs="仿宋_GB2312"/>
          <w:kern w:val="2"/>
          <w:sz w:val="32"/>
        </w:rPr>
      </w:pPr>
      <w:r>
        <w:rPr>
          <w:rFonts w:hint="eastAsia" w:ascii="仿宋_GB2312" w:hAnsi="仿宋_GB2312" w:cs="仿宋_GB2312"/>
          <w:b/>
          <w:bCs/>
          <w:kern w:val="2"/>
          <w:sz w:val="32"/>
        </w:rPr>
        <w:t>研究要点：</w:t>
      </w:r>
      <w:r>
        <w:rPr>
          <w:rFonts w:hint="eastAsia" w:ascii="仿宋_GB2312" w:hAnsi="仿宋_GB2312" w:cs="仿宋_GB2312"/>
          <w:kern w:val="2"/>
          <w:sz w:val="32"/>
        </w:rPr>
        <w:t>通过走访调研、文献研究、座谈交流等方式，深入了解我省数字化转型现状，分析影响数字化转型的制约性因素，凝练总结国内外数字化转型的创新模式，以抓好数字基建、发展数字产业、深化数字赋能、完善数字治理、构建数字生态等方面为研究切入点，提出我省加快数字化转型的对策建议。</w:t>
      </w:r>
    </w:p>
    <w:p>
      <w:pPr>
        <w:widowControl w:val="0"/>
        <w:numPr>
          <w:ilvl w:val="0"/>
          <w:numId w:val="1"/>
        </w:numPr>
        <w:ind w:firstLine="640" w:firstLineChars="200"/>
      </w:pPr>
      <w:r>
        <w:rPr>
          <w:rFonts w:hint="eastAsia"/>
        </w:rPr>
        <w:t>河南省生物医药产业高质量发展的路径及对策研究</w:t>
      </w:r>
    </w:p>
    <w:p>
      <w:pPr>
        <w:widowControl w:val="0"/>
        <w:ind w:firstLine="642" w:firstLineChars="200"/>
      </w:pPr>
      <w:r>
        <w:rPr>
          <w:rFonts w:hint="eastAsia" w:ascii="仿宋_GB2312" w:hAnsi="仿宋_GB2312" w:cs="仿宋_GB2312"/>
          <w:b/>
          <w:bCs/>
        </w:rPr>
        <w:t>研究要点：</w:t>
      </w:r>
      <w:r>
        <w:rPr>
          <w:rFonts w:hint="eastAsia" w:ascii="仿宋_GB2312" w:hAnsi="仿宋_GB2312" w:cs="仿宋_GB2312"/>
        </w:rPr>
        <w:t>通过走访调研、座谈交流、案例比较等方式，深入了解我省生物医药产业发展现状、主要优势及瓶颈问题，在分析研判国内外生物医药产业发展现状及趋势的基础，围绕我省生物医药产业优势再造和换道领跑，研究提出推进我省生物医药产业高质量发展的具体对策建议。</w:t>
      </w:r>
    </w:p>
    <w:p>
      <w:pPr>
        <w:widowControl w:val="0"/>
        <w:numPr>
          <w:ilvl w:val="0"/>
          <w:numId w:val="1"/>
        </w:numPr>
        <w:ind w:firstLine="640" w:firstLineChars="200"/>
      </w:pPr>
      <w:r>
        <w:rPr>
          <w:rFonts w:hint="eastAsia"/>
        </w:rPr>
        <w:t>河南加快纺织服装产业高质量发展的对策研究</w:t>
      </w:r>
    </w:p>
    <w:p>
      <w:pPr>
        <w:widowControl w:val="0"/>
        <w:ind w:firstLine="642" w:firstLineChars="200"/>
      </w:pPr>
      <w:r>
        <w:rPr>
          <w:rFonts w:hint="eastAsia" w:ascii="仿宋_GB2312" w:hAnsi="仿宋_GB2312" w:cs="仿宋_GB2312"/>
          <w:b/>
          <w:bCs/>
        </w:rPr>
        <w:t>研究要点：</w:t>
      </w:r>
      <w:r>
        <w:rPr>
          <w:rFonts w:hint="eastAsia" w:ascii="仿宋_GB2312" w:hAnsi="仿宋_GB2312" w:cs="仿宋_GB2312"/>
        </w:rPr>
        <w:t>充分认识纺织服装产业对于我省稳经济、促就业的重要作用，通过实地走访、文献资料研究、召开座谈会等方式，深入我省纺织服装企业和行业管理部门开展调研，从创新链、产业链、价值链的视角梳理总结当前制约我省纺织服装产业高质量发展的主要问题，提出具有实操性的对策建议。</w:t>
      </w:r>
    </w:p>
    <w:p>
      <w:pPr>
        <w:widowControl w:val="0"/>
        <w:numPr>
          <w:ilvl w:val="0"/>
          <w:numId w:val="1"/>
        </w:numPr>
        <w:ind w:firstLine="640" w:firstLineChars="200"/>
      </w:pPr>
      <w:r>
        <w:rPr>
          <w:rFonts w:hint="eastAsia"/>
        </w:rPr>
        <w:t>河南打造设计产业发展新高地对策研究——以工业设计或建筑设计为例</w:t>
      </w:r>
    </w:p>
    <w:p>
      <w:pPr>
        <w:pStyle w:val="3"/>
        <w:shd w:val="clear" w:color="auto" w:fill="FFFFFF"/>
        <w:spacing w:before="0" w:beforeAutospacing="0" w:after="0" w:afterAutospacing="0"/>
        <w:ind w:firstLine="642" w:firstLineChars="200"/>
        <w:rPr>
          <w:rFonts w:hint="default"/>
        </w:rPr>
      </w:pPr>
      <w:r>
        <w:rPr>
          <w:rFonts w:ascii="仿宋_GB2312" w:hAnsi="仿宋_GB2312" w:eastAsia="仿宋_GB2312" w:cs="仿宋_GB2312"/>
          <w:kern w:val="2"/>
          <w:sz w:val="32"/>
          <w:szCs w:val="32"/>
        </w:rPr>
        <w:t>研究要点：</w:t>
      </w:r>
      <w:r>
        <w:rPr>
          <w:rFonts w:ascii="仿宋_GB2312" w:hAnsi="仿宋_GB2312" w:eastAsia="仿宋_GB2312" w:cs="仿宋_GB2312"/>
          <w:b w:val="0"/>
          <w:bCs w:val="0"/>
          <w:kern w:val="2"/>
          <w:sz w:val="32"/>
          <w:szCs w:val="32"/>
        </w:rPr>
        <w:t>以工业设计或建筑设计为具体研究对象，深入领会“设计的本质是创新创意创造，能够引领产品、赋能产业、美化城乡、支撑发展”的具体含义，对标广东、浙江、山东、江苏等设计大省的发展理念和发展思路，找出我省当前发展设计产业存在的主要问题，提出我省打造设计产业发展新高地的具体对策建议。</w:t>
      </w:r>
    </w:p>
    <w:p>
      <w:pPr>
        <w:widowControl w:val="0"/>
        <w:numPr>
          <w:ilvl w:val="0"/>
          <w:numId w:val="1"/>
        </w:numPr>
        <w:ind w:firstLine="640" w:firstLineChars="200"/>
      </w:pPr>
      <w:r>
        <w:rPr>
          <w:rFonts w:hint="eastAsia"/>
        </w:rPr>
        <w:t>河南省智能网联汽车产业发展及对策研究</w:t>
      </w:r>
    </w:p>
    <w:p>
      <w:pPr>
        <w:widowControl w:val="0"/>
        <w:ind w:firstLine="642" w:firstLineChars="200"/>
      </w:pPr>
      <w:r>
        <w:rPr>
          <w:rFonts w:hint="eastAsia" w:ascii="仿宋_GB2312" w:hAnsi="仿宋_GB2312" w:cs="仿宋_GB2312"/>
          <w:b/>
          <w:bCs/>
        </w:rPr>
        <w:t>研究要点：</w:t>
      </w:r>
      <w:r>
        <w:rPr>
          <w:rFonts w:hint="eastAsia" w:ascii="仿宋_GB2312" w:hAnsi="仿宋_GB2312" w:cs="仿宋_GB2312"/>
        </w:rPr>
        <w:t>通过走访调研、文献研究、召开专题研讨会等方式，深入了解我省智能网联汽车技术研发和产品应用的主要领域、企业和技术分布，准确掌握国内外智能网联汽车技术研发的主攻方向及应用前景，厘清我省智能网联汽车产业发展的堵点、难点、卡点问题，从提升我省智能网联汽车产业自主创新能力、推进“强链补链延链”等角度，提出加快我省智能网联汽车产业发展的政策建议。</w:t>
      </w:r>
    </w:p>
    <w:p>
      <w:pPr>
        <w:widowControl w:val="0"/>
        <w:numPr>
          <w:ilvl w:val="0"/>
          <w:numId w:val="1"/>
        </w:numPr>
        <w:ind w:firstLine="640" w:firstLineChars="200"/>
      </w:pPr>
      <w:r>
        <w:t>河南省种业企业高质量发展</w:t>
      </w:r>
      <w:r>
        <w:rPr>
          <w:rFonts w:hint="eastAsia"/>
        </w:rPr>
        <w:t>对策</w:t>
      </w:r>
      <w:r>
        <w:t>研究</w:t>
      </w:r>
    </w:p>
    <w:p>
      <w:pPr>
        <w:widowControl w:val="0"/>
        <w:ind w:firstLine="642" w:firstLineChars="200"/>
      </w:pPr>
      <w:r>
        <w:rPr>
          <w:b/>
          <w:bCs/>
        </w:rPr>
        <w:t>研究要点：</w:t>
      </w:r>
      <w:r>
        <w:t>通过走访调研、文献研究、座谈交流等方式，全面了解我省种业企业发展现状、种业创新能力水平、市场占有率、品牌影响力等基础数据，系统分析实现河南省种业企业高质量发展具备的条件和基础、面临的机遇和挑战</w:t>
      </w:r>
      <w:r>
        <w:rPr>
          <w:rFonts w:hint="eastAsia"/>
        </w:rPr>
        <w:t>，</w:t>
      </w:r>
      <w:r>
        <w:t>从扶持种业龙头骨干企业、做强种业专业特色企业、引育优势种业企业、推动种业融合发展等角度探索适合河南省种业企业高质量发展的模式和路径，提出</w:t>
      </w:r>
      <w:r>
        <w:rPr>
          <w:rFonts w:hint="eastAsia"/>
        </w:rPr>
        <w:t>有针对性的</w:t>
      </w:r>
      <w:r>
        <w:t>政策建议</w:t>
      </w:r>
      <w:r>
        <w:rPr>
          <w:rFonts w:hint="eastAsia"/>
        </w:rPr>
        <w:t>。</w:t>
      </w:r>
    </w:p>
    <w:p>
      <w:pPr>
        <w:pStyle w:val="8"/>
        <w:numPr>
          <w:ilvl w:val="0"/>
          <w:numId w:val="1"/>
        </w:numPr>
        <w:spacing w:beforeAutospacing="0" w:afterAutospacing="0"/>
        <w:ind w:firstLine="640" w:firstLineChars="200"/>
        <w:rPr>
          <w:kern w:val="2"/>
          <w:sz w:val="32"/>
        </w:rPr>
      </w:pPr>
      <w:r>
        <w:rPr>
          <w:rFonts w:hint="eastAsia"/>
          <w:kern w:val="2"/>
          <w:sz w:val="32"/>
        </w:rPr>
        <w:t>河南前瞻布局未来产业对策研究——以具体产业为例</w:t>
      </w:r>
    </w:p>
    <w:p>
      <w:pPr>
        <w:pStyle w:val="8"/>
        <w:spacing w:beforeAutospacing="0" w:afterAutospacing="0"/>
        <w:ind w:firstLine="642" w:firstLineChars="200"/>
        <w:rPr>
          <w:sz w:val="32"/>
        </w:rPr>
      </w:pPr>
      <w:r>
        <w:rPr>
          <w:rFonts w:hint="eastAsia"/>
          <w:b/>
          <w:bCs/>
          <w:kern w:val="2"/>
          <w:sz w:val="32"/>
        </w:rPr>
        <w:t>研究要点：</w:t>
      </w:r>
      <w:r>
        <w:rPr>
          <w:rFonts w:hint="eastAsia"/>
          <w:kern w:val="2"/>
          <w:sz w:val="32"/>
        </w:rPr>
        <w:t>以量子信息、类脑智能、未来网络、生命健康、前沿新材料为具体研究对象，通过走访调研、文献研究、召开专题研讨会等方式，深入了解我省的发展现状、主要优势及短板不足，在分析研判国内外该产业整体发展现状及趋势的基础上，结合省第十一次党代会对于未来产业的整体规划布局，研究提出我省前瞻布局未来产业的具体对策建议。</w:t>
      </w:r>
    </w:p>
    <w:p>
      <w:pPr>
        <w:pStyle w:val="8"/>
        <w:numPr>
          <w:ilvl w:val="0"/>
          <w:numId w:val="1"/>
        </w:numPr>
        <w:spacing w:beforeAutospacing="0" w:afterAutospacing="0"/>
        <w:ind w:firstLine="640" w:firstLineChars="200"/>
        <w:rPr>
          <w:kern w:val="2"/>
          <w:sz w:val="32"/>
        </w:rPr>
      </w:pPr>
      <w:r>
        <w:rPr>
          <w:rFonts w:hint="eastAsia"/>
          <w:kern w:val="2"/>
          <w:sz w:val="32"/>
        </w:rPr>
        <w:t>河南加快培育先进制造业集群对策研究——以具体产业集群为例</w:t>
      </w:r>
    </w:p>
    <w:p>
      <w:pPr>
        <w:pStyle w:val="8"/>
        <w:spacing w:beforeAutospacing="0" w:afterAutospacing="0"/>
        <w:ind w:firstLine="642" w:firstLineChars="200"/>
        <w:rPr>
          <w:kern w:val="2"/>
          <w:sz w:val="32"/>
        </w:rPr>
      </w:pPr>
      <w:r>
        <w:rPr>
          <w:rFonts w:hint="eastAsia"/>
          <w:b/>
          <w:bCs/>
          <w:kern w:val="2"/>
          <w:sz w:val="32"/>
        </w:rPr>
        <w:t>研究要点：</w:t>
      </w:r>
      <w:r>
        <w:rPr>
          <w:rFonts w:hint="eastAsia"/>
          <w:kern w:val="2"/>
          <w:sz w:val="32"/>
        </w:rPr>
        <w:t>以装备制造、绿色食品、新型材料、电子信息、汽车制造、生物医药、现代化工产业集群为研究对象，对我省产业集群中的代表性企业进行深入调研，</w:t>
      </w:r>
      <w:r>
        <w:rPr>
          <w:rFonts w:hint="eastAsia" w:ascii="仿宋_GB2312" w:hAnsi="仿宋_GB2312" w:cs="仿宋_GB2312"/>
          <w:kern w:val="2"/>
          <w:sz w:val="32"/>
        </w:rPr>
        <w:t>准确掌握产业集群的发展现状、主要优势及短板不足，找准补链延链强链的突破口，形成“一群多链、聚链成群”的发展态势，为</w:t>
      </w:r>
      <w:r>
        <w:rPr>
          <w:rFonts w:hint="eastAsia"/>
          <w:kern w:val="2"/>
          <w:sz w:val="32"/>
        </w:rPr>
        <w:t>提高先进制造业集群能级、培育在全国乃至全球有影响力的产业集群提出对策建议。</w:t>
      </w:r>
    </w:p>
    <w:p>
      <w:pPr>
        <w:pStyle w:val="8"/>
        <w:numPr>
          <w:ilvl w:val="0"/>
          <w:numId w:val="1"/>
        </w:numPr>
        <w:spacing w:beforeAutospacing="0" w:afterAutospacing="0"/>
        <w:ind w:firstLine="640" w:firstLineChars="200"/>
        <w:rPr>
          <w:kern w:val="2"/>
          <w:sz w:val="32"/>
        </w:rPr>
      </w:pPr>
      <w:r>
        <w:rPr>
          <w:rFonts w:hint="eastAsia"/>
          <w:kern w:val="2"/>
          <w:sz w:val="32"/>
        </w:rPr>
        <w:t>河南省专精特新中小企业发展路径研究</w:t>
      </w:r>
    </w:p>
    <w:p>
      <w:pPr>
        <w:pStyle w:val="8"/>
        <w:spacing w:beforeAutospacing="0" w:afterAutospacing="0"/>
        <w:ind w:firstLine="642" w:firstLineChars="200"/>
        <w:rPr>
          <w:rFonts w:hint="eastAsia"/>
          <w:kern w:val="2"/>
          <w:sz w:val="32"/>
        </w:rPr>
      </w:pPr>
      <w:r>
        <w:rPr>
          <w:rFonts w:hint="eastAsia"/>
          <w:b/>
          <w:bCs/>
          <w:kern w:val="2"/>
          <w:sz w:val="32"/>
        </w:rPr>
        <w:t>研究要点：</w:t>
      </w:r>
      <w:r>
        <w:rPr>
          <w:rFonts w:hint="eastAsia"/>
          <w:kern w:val="2"/>
          <w:sz w:val="32"/>
        </w:rPr>
        <w:t>通过实地走访调研、交流座谈、案例分析等方式，深入了解我省专精特新中小企业发展现状，深刻剖析面临的制约因素和亟待解决的关键问题，在学习借鉴江苏、浙江、广东等省份发展经验的基础上，从健全体制机制、完善培育体系、加强产</w:t>
      </w:r>
    </w:p>
    <w:p>
      <w:pPr>
        <w:pStyle w:val="8"/>
        <w:spacing w:beforeAutospacing="0" w:afterAutospacing="0"/>
        <w:rPr>
          <w:rFonts w:hint="eastAsia"/>
          <w:kern w:val="2"/>
          <w:sz w:val="32"/>
        </w:rPr>
      </w:pPr>
      <w:r>
        <w:rPr>
          <w:rFonts w:hint="eastAsia"/>
          <w:kern w:val="2"/>
          <w:sz w:val="32"/>
        </w:rPr>
        <w:t>权保护、优化营商环境和强化数字赋能等方面提出推动我省专精</w:t>
      </w:r>
    </w:p>
    <w:p>
      <w:pPr>
        <w:pStyle w:val="8"/>
        <w:spacing w:beforeAutospacing="0" w:afterAutospacing="0"/>
        <w:rPr>
          <w:kern w:val="2"/>
          <w:sz w:val="32"/>
        </w:rPr>
      </w:pPr>
      <w:r>
        <w:rPr>
          <w:rFonts w:hint="eastAsia"/>
          <w:kern w:val="2"/>
          <w:sz w:val="32"/>
        </w:rPr>
        <w:t>特新中小企业高质量发展的具体政策建议。</w:t>
      </w:r>
    </w:p>
    <w:p>
      <w:pPr>
        <w:widowControl w:val="0"/>
        <w:numPr>
          <w:ilvl w:val="0"/>
          <w:numId w:val="1"/>
        </w:numPr>
        <w:ind w:firstLine="640" w:firstLineChars="200"/>
      </w:pPr>
      <w:r>
        <w:t>乡村振兴战略下</w:t>
      </w:r>
      <w:r>
        <w:rPr>
          <w:rFonts w:hint="eastAsia"/>
        </w:rPr>
        <w:t>河南省</w:t>
      </w:r>
      <w:r>
        <w:t>农村闲置土地现状</w:t>
      </w:r>
      <w:r>
        <w:rPr>
          <w:rFonts w:hint="eastAsia"/>
        </w:rPr>
        <w:t>调查</w:t>
      </w:r>
    </w:p>
    <w:p>
      <w:pPr>
        <w:widowControl w:val="0"/>
        <w:ind w:firstLine="642" w:firstLineChars="200"/>
        <w:jc w:val="left"/>
      </w:pPr>
      <w:r>
        <w:rPr>
          <w:b/>
          <w:bCs/>
        </w:rPr>
        <w:t>研究要点：</w:t>
      </w:r>
      <w:r>
        <w:t>聚焦乡村振兴战略下农村闲置土地利用重大问题，通过实地走访调研、座谈交流、文献资料研究等方式，全面了解当前我省农村闲置土地基本情况，</w:t>
      </w:r>
      <w:r>
        <w:rPr>
          <w:rFonts w:hint="eastAsia"/>
        </w:rPr>
        <w:t>围绕</w:t>
      </w:r>
      <w:r>
        <w:t>不同地域气候差异性、农民生活习惯、耕地质量、经济发展、第一产业占比、人口流动等因素，系统阐明乡村振兴战略下河南省农村闲置土地现状及时空演变规律，明晰河南省农村闲置土地产生的主要原因及驱动机制，</w:t>
      </w:r>
      <w:r>
        <w:rPr>
          <w:rFonts w:hint="eastAsia"/>
        </w:rPr>
        <w:t>并</w:t>
      </w:r>
      <w:r>
        <w:t>提出</w:t>
      </w:r>
      <w:r>
        <w:rPr>
          <w:rFonts w:hint="eastAsia"/>
        </w:rPr>
        <w:t>有针对性的</w:t>
      </w:r>
      <w:r>
        <w:t>政策建议</w:t>
      </w:r>
      <w:r>
        <w:rPr>
          <w:rFonts w:hint="eastAsia"/>
        </w:rPr>
        <w:t>。</w:t>
      </w:r>
    </w:p>
    <w:p>
      <w:pPr>
        <w:pStyle w:val="8"/>
        <w:numPr>
          <w:ilvl w:val="0"/>
          <w:numId w:val="1"/>
        </w:numPr>
        <w:spacing w:beforeAutospacing="0" w:afterAutospacing="0"/>
        <w:ind w:firstLine="640" w:firstLineChars="200"/>
        <w:rPr>
          <w:kern w:val="2"/>
          <w:sz w:val="32"/>
        </w:rPr>
      </w:pPr>
      <w:r>
        <w:rPr>
          <w:rFonts w:hint="eastAsia"/>
          <w:kern w:val="2"/>
          <w:sz w:val="32"/>
        </w:rPr>
        <w:t>河南健全科技创新合理容错机制路径研究</w:t>
      </w:r>
    </w:p>
    <w:p>
      <w:pPr>
        <w:pStyle w:val="8"/>
        <w:spacing w:beforeAutospacing="0" w:afterAutospacing="0"/>
        <w:ind w:firstLine="642" w:firstLineChars="200"/>
        <w:rPr>
          <w:kern w:val="2"/>
          <w:sz w:val="32"/>
        </w:rPr>
      </w:pPr>
      <w:r>
        <w:rPr>
          <w:rFonts w:hint="eastAsia" w:ascii="仿宋_GB2312" w:hAnsi="仿宋_GB2312" w:cs="仿宋_GB2312"/>
          <w:b/>
          <w:bCs/>
          <w:kern w:val="2"/>
          <w:sz w:val="32"/>
        </w:rPr>
        <w:t>研究要点：</w:t>
      </w:r>
      <w:r>
        <w:rPr>
          <w:rFonts w:hint="eastAsia" w:ascii="仿宋_GB2312" w:hAnsi="仿宋_GB2312" w:cs="仿宋_GB2312"/>
          <w:kern w:val="2"/>
          <w:sz w:val="32"/>
        </w:rPr>
        <w:t>通过走访调研、文献研究、案例分析等方式，深入了解我省科技创新容错机制建设及运用效果，搜集整理国内科技创新发达省市容错机制建设的主要做法和典型案例，对比分析我省在容错机制建设上的短板不足，在广泛征求我省科技、司法、审计、金融等部门以及科技项目实施单位意见的基础上，提出健全我省科技创新合理容错机制的具体政策建议。</w:t>
      </w:r>
    </w:p>
    <w:p>
      <w:pPr>
        <w:widowControl w:val="0"/>
        <w:numPr>
          <w:ilvl w:val="0"/>
          <w:numId w:val="1"/>
        </w:numPr>
        <w:ind w:firstLine="640" w:firstLineChars="200"/>
      </w:pPr>
      <w:r>
        <w:rPr>
          <w:rFonts w:hint="eastAsia"/>
        </w:rPr>
        <w:t>河南协同推进科技创新与科学普及对策研究</w:t>
      </w:r>
    </w:p>
    <w:p>
      <w:pPr>
        <w:widowControl w:val="0"/>
        <w:ind w:firstLine="642" w:firstLineChars="200"/>
      </w:pPr>
      <w:r>
        <w:rPr>
          <w:rFonts w:hint="eastAsia" w:ascii="仿宋_GB2312" w:hAnsi="仿宋_GB2312" w:cs="仿宋_GB2312"/>
          <w:b/>
          <w:bCs/>
        </w:rPr>
        <w:t>研究要点：</w:t>
      </w:r>
      <w:r>
        <w:rPr>
          <w:rFonts w:hint="eastAsia" w:ascii="仿宋_GB2312" w:hAnsi="仿宋_GB2312" w:cs="仿宋_GB2312"/>
        </w:rPr>
        <w:t>通过综合运用文献综述、问卷调查、案例分析等方式，着眼科技创新与科学普及的规律与特点，梳理国内外科技组织和平台以及我省有代表性的高校、科研院所、企业在开展科技创新与科学普及的实践经验，深入分析当前存在问题和不足，提出我省协同推进科技创新与科学普及的政策建议。</w:t>
      </w:r>
    </w:p>
    <w:p>
      <w:pPr>
        <w:widowControl w:val="0"/>
        <w:numPr>
          <w:ilvl w:val="0"/>
          <w:numId w:val="1"/>
        </w:numPr>
        <w:ind w:firstLine="640" w:firstLineChars="200"/>
      </w:pPr>
      <w:r>
        <w:rPr>
          <w:rFonts w:hint="eastAsia"/>
        </w:rPr>
        <w:t>河南县域经济“三项改革”存在的主要问题与对策建议</w:t>
      </w:r>
    </w:p>
    <w:p>
      <w:pPr>
        <w:widowControl w:val="0"/>
        <w:ind w:firstLine="642" w:firstLineChars="200"/>
        <w:rPr>
          <w:rFonts w:ascii="仿宋_GB2312" w:hAnsi="仿宋_GB2312" w:cs="仿宋_GB2312"/>
        </w:rPr>
      </w:pPr>
      <w:r>
        <w:rPr>
          <w:rFonts w:hint="eastAsia" w:ascii="仿宋_GB2312" w:hAnsi="仿宋_GB2312" w:cs="仿宋_GB2312"/>
          <w:b/>
          <w:bCs/>
        </w:rPr>
        <w:t>研究要点：</w:t>
      </w:r>
      <w:r>
        <w:rPr>
          <w:rFonts w:hint="eastAsia" w:ascii="仿宋_GB2312" w:hAnsi="仿宋_GB2312" w:cs="仿宋_GB2312"/>
        </w:rPr>
        <w:t>围绕落实习近平总书记关于县域治理“三起来”的重大要求，通过文献研究、案例分析、走访调研、座谈交流等方式，聚焦县域放权赋能、省直管县财政、一县一省级开发区“三项改革”，梳理分析我省县域经济改革进展成效、面临困难问题，创新性提出下一步深化县域经济“三项改革”的总体思路、改革重点及政策建议。</w:t>
      </w:r>
    </w:p>
    <w:p>
      <w:pPr>
        <w:widowControl w:val="0"/>
        <w:numPr>
          <w:ilvl w:val="0"/>
          <w:numId w:val="1"/>
        </w:numPr>
        <w:ind w:firstLine="640" w:firstLineChars="200"/>
      </w:pPr>
      <w:r>
        <w:rPr>
          <w:rFonts w:hint="eastAsia"/>
        </w:rPr>
        <w:t>“互联网+”背景下河南省智慧养老现状调查</w:t>
      </w:r>
    </w:p>
    <w:p>
      <w:pPr>
        <w:widowControl w:val="0"/>
        <w:ind w:firstLine="642" w:firstLineChars="200"/>
      </w:pPr>
      <w:r>
        <w:rPr>
          <w:rFonts w:hint="eastAsia" w:ascii="仿宋_GB2312" w:hAnsi="仿宋_GB2312" w:cs="仿宋_GB2312"/>
          <w:b/>
          <w:bCs/>
        </w:rPr>
        <w:t>研究要点：</w:t>
      </w:r>
      <w:r>
        <w:rPr>
          <w:rFonts w:hint="eastAsia" w:ascii="仿宋_GB2312" w:hAnsi="仿宋_GB2312" w:cs="仿宋_GB2312"/>
        </w:rPr>
        <w:t>通过抽样调查、走访调研、召开座谈会等方式，分析总结互联网技术在机构养老、社区养老、居家养老等传统养老模式中的应用，梳理我省开展智慧养老的技术、人员、设备、投资等现状及制约因素，在学习借鉴国内外先进经验的基础上，提出完善我省智慧养老服务模式的政策建议。</w:t>
      </w:r>
    </w:p>
    <w:p>
      <w:pPr>
        <w:widowControl w:val="0"/>
        <w:numPr>
          <w:ilvl w:val="0"/>
          <w:numId w:val="1"/>
        </w:numPr>
        <w:ind w:firstLine="640" w:firstLineChars="200"/>
      </w:pPr>
      <w:r>
        <w:rPr>
          <w:rFonts w:hint="eastAsia"/>
        </w:rPr>
        <w:t>河南省应对极端天气的综合策略研究</w:t>
      </w:r>
    </w:p>
    <w:p>
      <w:pPr>
        <w:pStyle w:val="2"/>
        <w:widowControl w:val="0"/>
        <w:spacing w:after="0"/>
        <w:ind w:firstLine="642" w:firstLineChars="200"/>
        <w:rPr>
          <w:rFonts w:eastAsia="仿宋_GB2312"/>
          <w:sz w:val="32"/>
          <w:szCs w:val="32"/>
        </w:rPr>
      </w:pPr>
      <w:r>
        <w:rPr>
          <w:rFonts w:hint="eastAsia" w:ascii="仿宋_GB2312" w:hAnsi="仿宋_GB2312" w:eastAsia="仿宋_GB2312" w:cs="仿宋_GB2312"/>
          <w:b/>
          <w:bCs/>
          <w:sz w:val="32"/>
          <w:szCs w:val="32"/>
        </w:rPr>
        <w:t>研究要点：</w:t>
      </w:r>
      <w:r>
        <w:rPr>
          <w:rFonts w:hint="eastAsia" w:ascii="仿宋_GB2312" w:hAnsi="仿宋_GB2312" w:eastAsia="仿宋_GB2312" w:cs="仿宋_GB2312"/>
          <w:sz w:val="32"/>
          <w:szCs w:val="32"/>
        </w:rPr>
        <w:t>在搜集整理省内外大量案例的基础上，运用系统论、管理学、信息论等理论，针对已经发生和未来可能成为常态的持续高温、洪涝灾害、暴雪狂风等极端天气，综合考虑河南应当从哪些方面未雨绸缪、防患于未然，使人、基础设施、开放空间等都能够实现适应性的调整与改变，把负面影响降到最低，并针对当前我省存在的主要问题，提出综合性的对策建议。</w:t>
      </w:r>
    </w:p>
    <w:p>
      <w:pPr>
        <w:widowControl w:val="0"/>
        <w:numPr>
          <w:ilvl w:val="0"/>
          <w:numId w:val="1"/>
        </w:numPr>
        <w:ind w:firstLine="640" w:firstLineChars="200"/>
      </w:pPr>
      <w:r>
        <w:rPr>
          <w:rFonts w:hint="eastAsia"/>
        </w:rPr>
        <w:t xml:space="preserve">河南科技工作者柔性引才现状与问题研究 </w:t>
      </w:r>
    </w:p>
    <w:p>
      <w:pPr>
        <w:widowControl w:val="0"/>
        <w:ind w:firstLine="642" w:firstLineChars="200"/>
      </w:pPr>
      <w:r>
        <w:rPr>
          <w:rFonts w:hint="eastAsia" w:ascii="仿宋_GB2312" w:hAnsi="仿宋_GB2312" w:cs="仿宋_GB2312"/>
          <w:b/>
          <w:bCs/>
        </w:rPr>
        <w:t>研究要点：</w:t>
      </w:r>
      <w:r>
        <w:rPr>
          <w:rFonts w:hint="eastAsia" w:ascii="仿宋_GB2312" w:hAnsi="仿宋_GB2312" w:cs="仿宋_GB2312"/>
        </w:rPr>
        <w:t>通过问卷调查、走访调研、案例分析等方式，梳理总结我省柔性引才的整体状况，找出当前我省柔性引才政策等层面与先进省份的差距，分析在被引人才作用发挥的体制机制、合作网络、平台建设等方面存在的问题和制约因素，提出具有较强针对性和可操作性的政策建议。</w:t>
      </w:r>
    </w:p>
    <w:p>
      <w:pPr>
        <w:widowControl w:val="0"/>
        <w:numPr>
          <w:ilvl w:val="0"/>
          <w:numId w:val="1"/>
        </w:numPr>
        <w:ind w:firstLine="640" w:firstLineChars="200"/>
      </w:pPr>
      <w:r>
        <w:rPr>
          <w:rFonts w:hint="eastAsia"/>
        </w:rPr>
        <w:t>河南籍高层次人才引育存在的问题与对策建议</w:t>
      </w:r>
    </w:p>
    <w:p>
      <w:pPr>
        <w:pStyle w:val="2"/>
        <w:widowControl w:val="0"/>
        <w:spacing w:after="0"/>
        <w:ind w:firstLine="642" w:firstLineChars="200"/>
        <w:rPr>
          <w:rFonts w:eastAsia="仿宋_GB2312"/>
          <w:sz w:val="32"/>
          <w:szCs w:val="32"/>
        </w:rPr>
      </w:pPr>
      <w:r>
        <w:rPr>
          <w:rFonts w:hint="eastAsia" w:eastAsia="仿宋_GB2312"/>
          <w:b/>
          <w:bCs/>
          <w:sz w:val="32"/>
          <w:szCs w:val="32"/>
        </w:rPr>
        <w:t>研究要点：</w:t>
      </w:r>
      <w:r>
        <w:rPr>
          <w:rFonts w:hint="eastAsia" w:eastAsia="仿宋_GB2312"/>
          <w:sz w:val="32"/>
          <w:szCs w:val="32"/>
        </w:rPr>
        <w:t>通过走访调研、问卷调查、文献资料研究、座谈交流等方式，深入了解在国外或省外工作的河南籍院士、顶尖科学家等高层次人才发展现状、研究领域及突出成绩，分析探究引进、培育的可能性，同时学习借鉴先进省份对在外本籍高层次人才引育的成功经验，梳理总结我省引进高层次人才的独特优势和问题不足，有针对性提出引进培育河南籍高层次人才的对策建议。</w:t>
      </w:r>
    </w:p>
    <w:p>
      <w:pPr>
        <w:pStyle w:val="8"/>
        <w:numPr>
          <w:ilvl w:val="0"/>
          <w:numId w:val="1"/>
        </w:numPr>
        <w:spacing w:beforeAutospacing="0" w:afterAutospacing="0"/>
        <w:ind w:firstLine="640" w:firstLineChars="200"/>
        <w:rPr>
          <w:kern w:val="2"/>
          <w:sz w:val="32"/>
        </w:rPr>
      </w:pPr>
      <w:r>
        <w:rPr>
          <w:rFonts w:hint="eastAsia"/>
          <w:kern w:val="2"/>
          <w:sz w:val="32"/>
        </w:rPr>
        <w:t>河南省高新技术企业科研人员科研环境和研发现状调查</w:t>
      </w:r>
    </w:p>
    <w:p>
      <w:pPr>
        <w:pStyle w:val="8"/>
        <w:spacing w:beforeAutospacing="0" w:afterAutospacing="0"/>
        <w:ind w:firstLine="642" w:firstLineChars="200"/>
      </w:pPr>
      <w:r>
        <w:rPr>
          <w:rFonts w:hint="eastAsia"/>
          <w:b/>
          <w:bCs/>
          <w:kern w:val="2"/>
          <w:sz w:val="32"/>
        </w:rPr>
        <w:t>研究要点：</w:t>
      </w:r>
      <w:r>
        <w:rPr>
          <w:rFonts w:hint="eastAsia"/>
          <w:kern w:val="2"/>
          <w:sz w:val="32"/>
        </w:rPr>
        <w:t>通过抽样调查、走访调研、文献研究等方式，对我省高新技术企业科研人员的科研环境和研发现状进行调查，梳理归纳反映比较集中的问题，综合分析问题产生的原因，在学习借鉴外省经验做法的基础上，围绕强化企业创新主体地位、完善企业创新引导机制等提出具体政策建议。样本调查应满足分布均匀、具有代表性的要求，杜绝以某一地域、某一领域为例来完成课题研究任务。</w:t>
      </w:r>
    </w:p>
    <w:p>
      <w:pPr>
        <w:widowControl w:val="0"/>
        <w:overflowPunct w:val="0"/>
        <w:ind w:firstLine="640" w:firstLineChars="200"/>
        <w:rPr>
          <w:rFonts w:ascii="黑体" w:hAnsi="黑体" w:eastAsia="黑体" w:cs="黑体"/>
          <w:bCs/>
        </w:rPr>
      </w:pPr>
      <w:r>
        <w:rPr>
          <w:rFonts w:hint="eastAsia" w:ascii="黑体" w:hAnsi="黑体" w:eastAsia="黑体" w:cs="黑体"/>
        </w:rPr>
        <w:t>二、</w:t>
      </w:r>
      <w:r>
        <w:rPr>
          <w:rFonts w:hint="eastAsia" w:ascii="黑体" w:hAnsi="黑体" w:eastAsia="黑体" w:cs="黑体"/>
          <w:bCs/>
        </w:rPr>
        <w:t>一般课题</w:t>
      </w:r>
    </w:p>
    <w:p>
      <w:pPr>
        <w:widowControl w:val="0"/>
        <w:overflowPunct w:val="0"/>
        <w:ind w:firstLine="640" w:firstLineChars="200"/>
        <w:rPr>
          <w:rFonts w:hint="eastAsia"/>
          <w:bCs/>
        </w:rPr>
      </w:pPr>
      <w:r>
        <w:rPr>
          <w:bCs/>
        </w:rPr>
        <w:t>在下列</w:t>
      </w:r>
      <w:r>
        <w:rPr>
          <w:rFonts w:hint="eastAsia"/>
          <w:bCs/>
        </w:rPr>
        <w:t>专</w:t>
      </w:r>
      <w:r>
        <w:rPr>
          <w:bCs/>
        </w:rPr>
        <w:t>题中选择申报，自行命题。</w:t>
      </w:r>
    </w:p>
    <w:p>
      <w:pPr>
        <w:pStyle w:val="2"/>
        <w:spacing w:after="0"/>
        <w:rPr>
          <w:rFonts w:hint="eastAsia" w:ascii="仿宋_GB2312" w:eastAsia="仿宋_GB2312"/>
          <w:sz w:val="32"/>
          <w:szCs w:val="32"/>
        </w:rPr>
      </w:pPr>
      <w:r>
        <w:rPr>
          <w:rFonts w:hint="eastAsia" w:ascii="仿宋_GB2312" w:eastAsia="仿宋_GB2312"/>
          <w:sz w:val="32"/>
          <w:szCs w:val="32"/>
        </w:rPr>
        <w:t xml:space="preserve">    </w:t>
      </w:r>
      <w:r>
        <w:rPr>
          <w:rFonts w:hint="eastAsia" w:ascii="楷体" w:hAnsi="楷体" w:eastAsia="楷体" w:cs="楷体"/>
          <w:sz w:val="32"/>
          <w:szCs w:val="32"/>
          <w:shd w:val="clear" w:color="auto" w:fill="FFFFFF"/>
        </w:rPr>
        <w:t>1.贯彻国家和我省重大发展战略专题。</w:t>
      </w:r>
      <w:r>
        <w:rPr>
          <w:rFonts w:hint="eastAsia" w:ascii="仿宋_GB2312" w:hAnsi="仿宋_GB2312" w:eastAsia="仿宋_GB2312" w:cs="仿宋_GB2312"/>
          <w:sz w:val="32"/>
          <w:szCs w:val="32"/>
          <w:shd w:val="clear" w:color="auto" w:fill="FFFFFF"/>
        </w:rPr>
        <w:t>该类课题旨在立足全</w:t>
      </w:r>
    </w:p>
    <w:p>
      <w:pPr>
        <w:pStyle w:val="8"/>
        <w:shd w:val="clear" w:color="auto" w:fill="FFFFFF"/>
        <w:adjustRightInd w:val="0"/>
        <w:spacing w:beforeAutospacing="0" w:afterAutospacing="0"/>
        <w:rPr>
          <w:rFonts w:ascii="仿宋_GB2312" w:hAnsi="仿宋_GB2312" w:cs="仿宋_GB2312"/>
          <w:sz w:val="32"/>
          <w:shd w:val="clear" w:color="auto" w:fill="FFFFFF"/>
        </w:rPr>
      </w:pPr>
      <w:r>
        <w:rPr>
          <w:rFonts w:hint="eastAsia" w:ascii="仿宋_GB2312" w:hAnsi="仿宋_GB2312" w:cs="仿宋_GB2312"/>
          <w:sz w:val="32"/>
          <w:shd w:val="clear" w:color="auto" w:fill="FFFFFF"/>
        </w:rPr>
        <w:t>面建设社会主义现代化河南新征程的关键时期，紧抓构建新发展格局战略机遇、新时代推动中部地区高质量发展政策机遇、黄河流域生态保护和高质量发展历史机遇，锚定“两个确保”，全面实施“十大战略”，为推进省委省政府重大决策部署落实落地、奋力建设国家创新高地提供决策支撑。</w:t>
      </w:r>
    </w:p>
    <w:p>
      <w:pPr>
        <w:pStyle w:val="8"/>
        <w:shd w:val="clear" w:color="auto" w:fill="FFFFFF"/>
        <w:adjustRightInd w:val="0"/>
        <w:spacing w:beforeAutospacing="0" w:afterAutospacing="0"/>
        <w:ind w:firstLine="640" w:firstLineChars="200"/>
        <w:rPr>
          <w:rFonts w:ascii="仿宋_GB2312" w:hAnsi="仿宋_GB2312" w:cs="仿宋_GB2312"/>
          <w:sz w:val="32"/>
          <w:shd w:val="clear" w:color="auto" w:fill="FFFFFF"/>
        </w:rPr>
      </w:pPr>
      <w:r>
        <w:rPr>
          <w:rFonts w:hint="eastAsia" w:ascii="楷体" w:hAnsi="楷体" w:eastAsia="楷体" w:cs="楷体"/>
          <w:sz w:val="32"/>
          <w:shd w:val="clear" w:color="auto" w:fill="FFFFFF"/>
        </w:rPr>
        <w:t>2.加快建设现代产业体系专题。</w:t>
      </w:r>
      <w:r>
        <w:rPr>
          <w:rFonts w:hint="eastAsia" w:ascii="仿宋_GB2312" w:hAnsi="仿宋_GB2312" w:cs="仿宋_GB2312"/>
          <w:sz w:val="32"/>
          <w:shd w:val="clear" w:color="auto" w:fill="FFFFFF"/>
        </w:rPr>
        <w:t>该类课题旨在聚焦世界前沿科技领域和产业发展方向，对接国家战略科技力量体系，从推动我省产业链、创新链、供应链、要素链、制度链共生耦合，先进制造业和现代服务业，数字经济和实体经济深度融合等角度，统筹抓好装备、食品、轻纺、新型建材等传统行业提质发展，智能终端、生物医药、新能源及网联汽车、网络安全、智能装备、智能传感器等新兴产业培育壮大，氢能与储能、量子信息、生命健康科学、前沿新材料等未来产业前瞻布局，挖掘产业改革发展中的疑点问题、难点问题和盲点问题，深入分析原因，提出有针对性的解决方案供省委省政府决策参考。</w:t>
      </w:r>
    </w:p>
    <w:p>
      <w:pPr>
        <w:pStyle w:val="8"/>
        <w:shd w:val="clear" w:color="auto" w:fill="FFFFFF"/>
        <w:adjustRightInd w:val="0"/>
        <w:spacing w:beforeAutospacing="0" w:afterAutospacing="0"/>
        <w:ind w:firstLine="640" w:firstLineChars="200"/>
        <w:rPr>
          <w:rFonts w:hint="eastAsia" w:ascii="仿宋_GB2312" w:hAnsi="仿宋_GB2312" w:cs="仿宋_GB2312"/>
          <w:sz w:val="32"/>
          <w:shd w:val="clear" w:color="auto" w:fill="FFFFFF"/>
        </w:rPr>
      </w:pPr>
      <w:r>
        <w:rPr>
          <w:rFonts w:hint="eastAsia" w:ascii="楷体" w:hAnsi="楷体" w:eastAsia="楷体" w:cs="楷体"/>
          <w:sz w:val="32"/>
          <w:shd w:val="clear" w:color="auto" w:fill="FFFFFF"/>
        </w:rPr>
        <w:t>3.构建我省一流创新生态专题。</w:t>
      </w:r>
      <w:r>
        <w:rPr>
          <w:rFonts w:hint="eastAsia" w:ascii="仿宋_GB2312" w:hAnsi="仿宋_GB2312" w:cs="仿宋_GB2312"/>
          <w:sz w:val="32"/>
          <w:shd w:val="clear" w:color="auto" w:fill="FFFFFF"/>
        </w:rPr>
        <w:t>该类课题旨在从政、产、学、研、金、服、用深度融合，科技成果转化，创新平台建设，创新主体培育，创新人才集聚，科学家精神传承弘扬等角度，从科技管理体制机制创新出发，围绕营造有利于创新活力充分涌流、创业潜力有效激发、创造动力竞相迸发的创新生态为目标，开展调研，梳理现状，分析原因，提出建议，为我省实施创新驱动、科</w:t>
      </w:r>
    </w:p>
    <w:p>
      <w:pPr>
        <w:pStyle w:val="8"/>
        <w:shd w:val="clear" w:color="auto" w:fill="FFFFFF"/>
        <w:adjustRightInd w:val="0"/>
        <w:spacing w:beforeAutospacing="0" w:afterAutospacing="0"/>
        <w:rPr>
          <w:rFonts w:hint="eastAsia" w:ascii="仿宋_GB2312" w:hAnsi="仿宋_GB2312" w:cs="仿宋_GB2312"/>
          <w:sz w:val="32"/>
          <w:shd w:val="clear" w:color="auto" w:fill="FFFFFF"/>
        </w:rPr>
      </w:pPr>
      <w:r>
        <w:rPr>
          <w:rFonts w:hint="eastAsia" w:ascii="仿宋_GB2312" w:hAnsi="仿宋_GB2312" w:cs="仿宋_GB2312"/>
          <w:sz w:val="32"/>
          <w:shd w:val="clear" w:color="auto" w:fill="FFFFFF"/>
        </w:rPr>
        <w:t>教兴省、人才强省战略，推动科技与经济进一步融合提供决策参</w:t>
      </w:r>
    </w:p>
    <w:p>
      <w:pPr>
        <w:pStyle w:val="8"/>
        <w:shd w:val="clear" w:color="auto" w:fill="FFFFFF"/>
        <w:adjustRightInd w:val="0"/>
        <w:spacing w:beforeAutospacing="0" w:afterAutospacing="0"/>
        <w:rPr>
          <w:rFonts w:ascii="仿宋_GB2312" w:hAnsi="仿宋_GB2312" w:cs="仿宋_GB2312"/>
          <w:sz w:val="32"/>
          <w:shd w:val="clear" w:color="auto" w:fill="FFFFFF"/>
        </w:rPr>
      </w:pPr>
      <w:r>
        <w:rPr>
          <w:rFonts w:hint="eastAsia" w:ascii="仿宋_GB2312" w:hAnsi="仿宋_GB2312" w:cs="仿宋_GB2312"/>
          <w:sz w:val="32"/>
          <w:shd w:val="clear" w:color="auto" w:fill="FFFFFF"/>
        </w:rPr>
        <w:t>考。</w:t>
      </w:r>
    </w:p>
    <w:p>
      <w:pPr>
        <w:pStyle w:val="8"/>
        <w:shd w:val="clear" w:color="auto" w:fill="FFFFFF"/>
        <w:adjustRightInd w:val="0"/>
        <w:spacing w:beforeAutospacing="0" w:afterAutospacing="0"/>
        <w:ind w:firstLine="640" w:firstLineChars="200"/>
        <w:rPr>
          <w:rFonts w:ascii="仿宋_GB2312" w:hAnsi="仿宋_GB2312" w:cs="仿宋_GB2312"/>
          <w:sz w:val="32"/>
        </w:rPr>
      </w:pPr>
      <w:r>
        <w:rPr>
          <w:rFonts w:hint="eastAsia" w:ascii="楷体" w:hAnsi="楷体" w:eastAsia="楷体" w:cs="楷体"/>
          <w:sz w:val="32"/>
          <w:shd w:val="clear" w:color="auto" w:fill="FFFFFF"/>
        </w:rPr>
        <w:t>4.深化科技体制改革专题。</w:t>
      </w:r>
      <w:r>
        <w:rPr>
          <w:rFonts w:hint="eastAsia" w:ascii="仿宋_GB2312" w:hAnsi="仿宋_GB2312" w:cs="仿宋_GB2312"/>
          <w:sz w:val="32"/>
          <w:shd w:val="clear" w:color="auto" w:fill="FFFFFF"/>
        </w:rPr>
        <w:t>该类课题旨在从推进科研体制重塑性改革，完善科研管理和科技成果评价机制，发挥创新主体地位和作用等方面，打通科技与经济社会发展之间的通道，深入分析我省在深化科技体制改革上存在的问题和不足，学习借鉴发达省份改革经验，为省委省政府制定完善科技政策提供支持。</w:t>
      </w:r>
    </w:p>
    <w:p>
      <w:pPr>
        <w:pStyle w:val="8"/>
        <w:shd w:val="clear" w:color="auto" w:fill="FFFFFF"/>
        <w:adjustRightInd w:val="0"/>
        <w:spacing w:beforeAutospacing="0" w:afterAutospacing="0"/>
        <w:ind w:firstLine="640" w:firstLineChars="200"/>
        <w:rPr>
          <w:rFonts w:ascii="仿宋_GB2312" w:hAnsi="宋体"/>
          <w:sz w:val="32"/>
        </w:rPr>
      </w:pPr>
      <w:r>
        <w:rPr>
          <w:rFonts w:hint="eastAsia" w:ascii="楷体" w:hAnsi="楷体" w:eastAsia="楷体" w:cs="楷体"/>
          <w:sz w:val="32"/>
          <w:shd w:val="clear" w:color="auto" w:fill="FFFFFF"/>
        </w:rPr>
        <w:t>5.河南科技工作者状况调查专题。</w:t>
      </w:r>
      <w:r>
        <w:rPr>
          <w:rFonts w:hint="eastAsia" w:ascii="仿宋_GB2312" w:hAnsi="仿宋_GB2312" w:cs="仿宋_GB2312"/>
          <w:sz w:val="32"/>
          <w:shd w:val="clear" w:color="auto" w:fill="FFFFFF"/>
        </w:rPr>
        <w:t>该类课题旨在从关系科技工作者切身利益的重大共性问题，全省科技工作者队伍的变化趋势、成长环境和思想动态等方面，结合当前科技人才政策体系，深入调研新时代我省科技工作者面临的新情况、新问题，探求破解问题的办法和路径，准确把握并及时反映广大科技工作者的意见和呼声</w:t>
      </w:r>
      <w:r>
        <w:rPr>
          <w:rFonts w:hint="default" w:ascii="仿宋_GB2312" w:hAnsi="仿宋_GB2312" w:cs="仿宋_GB2312"/>
          <w:sz w:val="32"/>
          <w:shd w:val="clear" w:color="auto" w:fill="FFFFFF"/>
          <w:lang w:val="en"/>
        </w:rPr>
        <w:t>，</w:t>
      </w:r>
      <w:r>
        <w:rPr>
          <w:rFonts w:hint="eastAsia" w:ascii="仿宋_GB2312" w:hAnsi="仿宋_GB2312" w:cs="仿宋_GB2312"/>
          <w:sz w:val="32"/>
          <w:shd w:val="clear" w:color="auto" w:fill="FFFFFF"/>
        </w:rPr>
        <w:t>为激发科技人才创新活力、建设全国重要人才中心提供参考。</w:t>
      </w:r>
      <w:bookmarkStart w:id="3" w:name="_GoBack"/>
      <w:bookmarkEnd w:id="3"/>
    </w:p>
    <w:p>
      <w:pPr>
        <w:pStyle w:val="8"/>
        <w:shd w:val="clear" w:color="auto" w:fill="FFFFFF"/>
        <w:adjustRightInd w:val="0"/>
        <w:spacing w:beforeAutospacing="0" w:afterAutospacing="0"/>
        <w:ind w:firstLine="640" w:firstLineChars="200"/>
        <w:rPr>
          <w:rFonts w:ascii="仿宋_GB2312" w:hAnsi="仿宋_GB2312" w:cs="仿宋_GB2312"/>
          <w:sz w:val="32"/>
        </w:rPr>
      </w:pPr>
      <w:r>
        <w:rPr>
          <w:rFonts w:hint="eastAsia" w:ascii="楷体" w:hAnsi="楷体" w:eastAsia="楷体" w:cs="楷体"/>
          <w:sz w:val="32"/>
          <w:shd w:val="clear" w:color="auto" w:fill="FFFFFF"/>
        </w:rPr>
        <w:t>6.全省科协组织改革发展专题。</w:t>
      </w:r>
      <w:r>
        <w:rPr>
          <w:rFonts w:hint="eastAsia" w:ascii="仿宋_GB2312" w:hAnsi="仿宋_GB2312" w:cs="仿宋_GB2312"/>
          <w:sz w:val="32"/>
          <w:shd w:val="clear" w:color="auto" w:fill="FFFFFF"/>
        </w:rPr>
        <w:t>该类课题旨在贯彻落实中央和省委群团改革、科协改革精神，结合中国科协十大确定的目标任务以及省科协“5610”总体安排，围绕坚持“四服务”职能，推进开放型、枢纽型、平台型科协组织建设，针对加强党对科技工作者的思想政治引领、改进联系服务科技工作者的方式方法、增强科技社团对科技工作者的凝聚力、推动科技社团和基层组织服务企业自主创新、实现科普理念和实践双升级、推动科协科技智库体系建设等方面存在的突出问题、遇到的主要挑战，提出有针对性的解决方案。</w:t>
      </w:r>
    </w:p>
    <w:p>
      <w:pPr>
        <w:pStyle w:val="2"/>
        <w:spacing w:after="0"/>
        <w:rPr>
          <w:rFonts w:ascii="仿宋_GB2312" w:eastAsia="仿宋_GB2312"/>
          <w:sz w:val="32"/>
          <w:szCs w:val="32"/>
        </w:rPr>
        <w:sectPr>
          <w:footerReference r:id="rId3" w:type="default"/>
          <w:footerReference r:id="rId4" w:type="even"/>
          <w:pgSz w:w="11906" w:h="16838"/>
          <w:pgMar w:top="2041" w:right="1361" w:bottom="2041" w:left="1474" w:header="851" w:footer="992" w:gutter="0"/>
          <w:cols w:space="425" w:num="1"/>
          <w:docGrid w:type="lines" w:linePitch="579" w:charSpace="0"/>
        </w:sectPr>
      </w:pPr>
    </w:p>
    <w:p>
      <w:pPr>
        <w:pStyle w:val="2"/>
        <w:spacing w:after="0"/>
        <w:rPr>
          <w:rFonts w:hint="eastAsia" w:ascii="仿宋_GB2312" w:eastAsia="仿宋_GB2312"/>
          <w:sz w:val="32"/>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r>
        <w:rPr>
          <w:rFonts w:ascii="等线" w:hAnsi="等线" w:eastAsia="等线" w:cs="等线"/>
          <w:szCs w:val="21"/>
        </w:rPr>
        <w:pict>
          <v:line id="_x0000_s2051" o:spid="_x0000_s2051" o:spt="20" style="position:absolute;left:0pt;margin-left:0pt;margin-top:28.95pt;height:0pt;width:451.5pt;z-index:251658240;mso-width-relative:page;mso-height-relative:page;" coordsize="21600,21600">
            <v:path arrowok="t"/>
            <v:fill focussize="0,0"/>
            <v:stroke/>
            <v:imagedata o:title=""/>
            <o:lock v:ext="edit"/>
          </v:line>
        </w:pict>
      </w:r>
      <w:r>
        <w:rPr>
          <w:rFonts w:ascii="等线" w:hAnsi="等线" w:eastAsia="等线" w:cs="等线"/>
          <w:szCs w:val="21"/>
        </w:rPr>
        <w:pict>
          <v:line id="_x0000_s2050" o:spid="_x0000_s2050" o:spt="20" style="position:absolute;left:0pt;margin-left:0pt;margin-top:0pt;height:0pt;width:451.5pt;z-index:251658240;mso-width-relative:page;mso-height-relative:page;" coordsize="21600,21600">
            <v:path arrowok="t"/>
            <v:fill focussize="0,0"/>
            <v:stroke/>
            <v:imagedata o:title=""/>
            <o:lock v:ext="edit"/>
          </v:line>
        </w:pict>
      </w:r>
      <w:r>
        <w:rPr>
          <w:rFonts w:ascii="仿宋_GB2312" w:cs="仿宋_GB2312"/>
          <w:sz w:val="28"/>
          <w:szCs w:val="28"/>
        </w:rPr>
        <w:t xml:space="preserve">  </w:t>
      </w:r>
      <w:r>
        <w:rPr>
          <w:rFonts w:hint="eastAsia" w:ascii="仿宋_GB2312" w:cs="仿宋_GB2312"/>
          <w:sz w:val="28"/>
          <w:szCs w:val="28"/>
        </w:rPr>
        <w:t>河南省科协办公室</w:t>
      </w:r>
      <w:r>
        <w:rPr>
          <w:rFonts w:ascii="仿宋_GB2312" w:cs="仿宋_GB2312"/>
          <w:sz w:val="28"/>
          <w:szCs w:val="28"/>
        </w:rPr>
        <w:t xml:space="preserve">    </w:t>
      </w:r>
      <w:r>
        <w:rPr>
          <w:rFonts w:hint="eastAsia" w:ascii="仿宋_GB2312" w:cs="仿宋_GB2312"/>
          <w:sz w:val="28"/>
          <w:szCs w:val="28"/>
          <w:lang w:val="en-US" w:eastAsia="zh-CN"/>
        </w:rPr>
        <w:t xml:space="preserve"> </w:t>
      </w:r>
      <w:r>
        <w:rPr>
          <w:rFonts w:ascii="仿宋_GB2312" w:cs="仿宋_GB2312"/>
          <w:sz w:val="28"/>
          <w:szCs w:val="28"/>
        </w:rPr>
        <w:t xml:space="preserve">                    202</w:t>
      </w:r>
      <w:r>
        <w:rPr>
          <w:rFonts w:hint="eastAsia" w:ascii="仿宋_GB2312" w:cs="仿宋_GB2312"/>
          <w:sz w:val="28"/>
          <w:szCs w:val="28"/>
        </w:rPr>
        <w:t>2年9月29日印发</w:t>
      </w:r>
    </w:p>
    <w:sectPr>
      <w:footerReference r:id="rId5" w:type="even"/>
      <w:type w:val="continuous"/>
      <w:pgSz w:w="11906" w:h="16838"/>
      <w:pgMar w:top="2041" w:right="1361" w:bottom="2041" w:left="1474" w:header="851" w:footer="737"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767094"/>
      <w:docPartObj>
        <w:docPartGallery w:val="autotext"/>
      </w:docPartObj>
    </w:sdtPr>
    <w:sdtEndPr>
      <w:rPr>
        <w:rFonts w:hint="eastAsia" w:ascii="仿宋_GB2312"/>
        <w:sz w:val="28"/>
        <w:szCs w:val="28"/>
      </w:rPr>
    </w:sdtEndPr>
    <w:sdtContent>
      <w:p>
        <w:pPr>
          <w:pStyle w:val="5"/>
          <w:jc w:val="right"/>
        </w:pPr>
        <w:r>
          <w:rPr>
            <w:rFonts w:hint="eastAsia" w:ascii="仿宋_GB2312"/>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17</w:t>
        </w:r>
        <w:r>
          <w:rPr>
            <w:rFonts w:hint="eastAsia" w:ascii="宋体" w:hAnsi="宋体" w:eastAsia="宋体"/>
            <w:sz w:val="28"/>
            <w:szCs w:val="28"/>
          </w:rPr>
          <w:fldChar w:fldCharType="end"/>
        </w:r>
        <w:r>
          <w:rPr>
            <w:rFonts w:hint="eastAsia" w:ascii="宋体" w:hAnsi="宋体" w:eastAsia="宋体"/>
            <w:sz w:val="28"/>
            <w:szCs w:val="28"/>
          </w:rPr>
          <w:t xml:space="preserve"> </w:t>
        </w:r>
        <w:r>
          <w:rPr>
            <w:rFonts w:hint="eastAsia" w:ascii="仿宋_GB2312"/>
            <w:sz w:val="28"/>
            <w:szCs w:val="28"/>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仿宋_GB2312"/>
        <w:sz w:val="28"/>
        <w:szCs w:val="28"/>
      </w:rPr>
      <w:t>—</w:t>
    </w:r>
    <w:sdt>
      <w:sdtPr>
        <w:rPr>
          <w:rFonts w:hint="eastAsia" w:ascii="仿宋_GB2312"/>
          <w:sz w:val="28"/>
          <w:szCs w:val="28"/>
        </w:rPr>
        <w:id w:val="1967767104"/>
        <w:docPartObj>
          <w:docPartGallery w:val="autotext"/>
        </w:docPartObj>
      </w:sdtPr>
      <w:sdtEndPr>
        <w:rPr>
          <w:rFonts w:hint="default" w:ascii="Times New Roman"/>
          <w:sz w:val="18"/>
          <w:szCs w:val="18"/>
        </w:rPr>
      </w:sdtEndPr>
      <w:sdtContent>
        <w:r>
          <w:rPr>
            <w:rFonts w:hint="eastAsia" w:ascii="仿宋_GB2312"/>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18</w:t>
        </w:r>
        <w:r>
          <w:rPr>
            <w:rFonts w:hint="eastAsia" w:ascii="宋体" w:hAnsi="宋体" w:eastAsia="宋体"/>
            <w:sz w:val="28"/>
            <w:szCs w:val="28"/>
          </w:rPr>
          <w:fldChar w:fldCharType="end"/>
        </w:r>
        <w:r>
          <w:rPr>
            <w:rFonts w:hint="eastAsia" w:ascii="宋体" w:hAnsi="宋体" w:eastAsia="宋体"/>
            <w:sz w:val="28"/>
            <w:szCs w:val="28"/>
          </w:rPr>
          <w:t xml:space="preserve"> </w:t>
        </w:r>
        <w:r>
          <w:rPr>
            <w:rFonts w:hint="eastAsia" w:ascii="仿宋_GB2312"/>
            <w:sz w:val="28"/>
            <w:szCs w:val="28"/>
          </w:rPr>
          <w:t>—</w:t>
        </w:r>
      </w:sdtContent>
    </w:sdt>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仿宋_GB2312"/>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18</w:t>
    </w:r>
    <w:r>
      <w:rPr>
        <w:rFonts w:hint="eastAsia" w:ascii="宋体" w:hAnsi="宋体" w:eastAsia="宋体"/>
        <w:sz w:val="28"/>
        <w:szCs w:val="28"/>
      </w:rPr>
      <w:fldChar w:fldCharType="end"/>
    </w:r>
    <w:r>
      <w:rPr>
        <w:rFonts w:hint="eastAsia" w:ascii="宋体" w:hAnsi="宋体" w:eastAsia="宋体"/>
        <w:sz w:val="28"/>
        <w:szCs w:val="28"/>
      </w:rPr>
      <w:t xml:space="preserve"> </w:t>
    </w:r>
    <w:r>
      <w:rPr>
        <w:rFonts w:hint="eastAsia" w:ascii="仿宋_GB2312"/>
        <w:sz w:val="28"/>
        <w:szCs w:val="28"/>
      </w:rPr>
      <w:t>—</w:t>
    </w:r>
  </w:p>
  <w:p>
    <w:pPr>
      <w:pStyle w:val="5"/>
      <w:ind w:right="360"/>
      <w:jc w:val="right"/>
    </w:pPr>
    <w:r>
      <w:drawing>
        <wp:inline distT="0" distB="0" distL="0" distR="0">
          <wp:extent cx="1790065" cy="475615"/>
          <wp:effectExtent l="19050" t="0" r="224" b="0"/>
          <wp:docPr id="1" name="图片 0" descr="豫科协发〔2022〕64号.bmp"/>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0" descr="豫科协发〔2022〕64号.bmp"/>
                  <pic:cNvPicPr>
                    <a:picLocks noChangeAspect="true"/>
                  </pic:cNvPicPr>
                </pic:nvPicPr>
                <pic:blipFill>
                  <a:blip r:embed="rId1"/>
                  <a:stretch>
                    <a:fillRect/>
                  </a:stretch>
                </pic:blipFill>
                <pic:spPr>
                  <a:xfrm>
                    <a:off x="0" y="0"/>
                    <a:ext cx="1790476" cy="476191"/>
                  </a:xfrm>
                  <a:prstGeom prst="rect">
                    <a:avLst/>
                  </a:prstGeom>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DF7A4"/>
    <w:multiLevelType w:val="singleLevel"/>
    <w:tmpl w:val="F52DF7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true"/>
  <w:drawingGridHorizontalSpacing w:val="160"/>
  <w:drawingGridVerticalSpacing w:val="579"/>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5F3C"/>
    <w:rsid w:val="00003CDC"/>
    <w:rsid w:val="00004D8B"/>
    <w:rsid w:val="00013950"/>
    <w:rsid w:val="000242D9"/>
    <w:rsid w:val="000259E6"/>
    <w:rsid w:val="0004243E"/>
    <w:rsid w:val="00045476"/>
    <w:rsid w:val="000D7CD2"/>
    <w:rsid w:val="000F5F24"/>
    <w:rsid w:val="001315C2"/>
    <w:rsid w:val="001325FA"/>
    <w:rsid w:val="00155065"/>
    <w:rsid w:val="00156152"/>
    <w:rsid w:val="0016323B"/>
    <w:rsid w:val="00177107"/>
    <w:rsid w:val="001963EB"/>
    <w:rsid w:val="001A72C2"/>
    <w:rsid w:val="001A7F0B"/>
    <w:rsid w:val="001B6BF0"/>
    <w:rsid w:val="001C6083"/>
    <w:rsid w:val="0023703C"/>
    <w:rsid w:val="00246FD2"/>
    <w:rsid w:val="00260A67"/>
    <w:rsid w:val="00262D85"/>
    <w:rsid w:val="00293F2F"/>
    <w:rsid w:val="002A2350"/>
    <w:rsid w:val="002C3FE0"/>
    <w:rsid w:val="002D11D4"/>
    <w:rsid w:val="002E4E63"/>
    <w:rsid w:val="002F417B"/>
    <w:rsid w:val="003221CC"/>
    <w:rsid w:val="00337A45"/>
    <w:rsid w:val="00352405"/>
    <w:rsid w:val="00352860"/>
    <w:rsid w:val="00367E7B"/>
    <w:rsid w:val="003709BF"/>
    <w:rsid w:val="00381B0A"/>
    <w:rsid w:val="003F1EF4"/>
    <w:rsid w:val="004024DE"/>
    <w:rsid w:val="0041039E"/>
    <w:rsid w:val="00435D0B"/>
    <w:rsid w:val="00440890"/>
    <w:rsid w:val="0044522C"/>
    <w:rsid w:val="00451F9D"/>
    <w:rsid w:val="00462D93"/>
    <w:rsid w:val="004A160C"/>
    <w:rsid w:val="004B2621"/>
    <w:rsid w:val="004B7623"/>
    <w:rsid w:val="004D387E"/>
    <w:rsid w:val="004D4452"/>
    <w:rsid w:val="005033DD"/>
    <w:rsid w:val="00512A07"/>
    <w:rsid w:val="005144A3"/>
    <w:rsid w:val="00543E8A"/>
    <w:rsid w:val="00553EE6"/>
    <w:rsid w:val="0056374A"/>
    <w:rsid w:val="00565098"/>
    <w:rsid w:val="00577011"/>
    <w:rsid w:val="00577666"/>
    <w:rsid w:val="005834E6"/>
    <w:rsid w:val="00584393"/>
    <w:rsid w:val="005A438D"/>
    <w:rsid w:val="005A7694"/>
    <w:rsid w:val="005C5AE2"/>
    <w:rsid w:val="00602805"/>
    <w:rsid w:val="0062686D"/>
    <w:rsid w:val="00642154"/>
    <w:rsid w:val="0065223E"/>
    <w:rsid w:val="00662FA6"/>
    <w:rsid w:val="006A2E9C"/>
    <w:rsid w:val="006F4C64"/>
    <w:rsid w:val="007025DC"/>
    <w:rsid w:val="007337E7"/>
    <w:rsid w:val="00735B9D"/>
    <w:rsid w:val="00765ABE"/>
    <w:rsid w:val="00784BE7"/>
    <w:rsid w:val="007A1B36"/>
    <w:rsid w:val="007B5BD3"/>
    <w:rsid w:val="007C4E68"/>
    <w:rsid w:val="007D2A58"/>
    <w:rsid w:val="007E701E"/>
    <w:rsid w:val="0080387C"/>
    <w:rsid w:val="00804D5F"/>
    <w:rsid w:val="00810244"/>
    <w:rsid w:val="00836B09"/>
    <w:rsid w:val="00851B74"/>
    <w:rsid w:val="00856F69"/>
    <w:rsid w:val="00857267"/>
    <w:rsid w:val="00872958"/>
    <w:rsid w:val="00876A68"/>
    <w:rsid w:val="00882BBB"/>
    <w:rsid w:val="00897F04"/>
    <w:rsid w:val="008A57DC"/>
    <w:rsid w:val="008C15BC"/>
    <w:rsid w:val="008C5052"/>
    <w:rsid w:val="008D037B"/>
    <w:rsid w:val="00907DCA"/>
    <w:rsid w:val="00924327"/>
    <w:rsid w:val="009423CB"/>
    <w:rsid w:val="0094752D"/>
    <w:rsid w:val="0095679F"/>
    <w:rsid w:val="00957078"/>
    <w:rsid w:val="009A0947"/>
    <w:rsid w:val="009A2225"/>
    <w:rsid w:val="009C6DE0"/>
    <w:rsid w:val="009F259E"/>
    <w:rsid w:val="00A0087F"/>
    <w:rsid w:val="00A04617"/>
    <w:rsid w:val="00A17422"/>
    <w:rsid w:val="00A462A0"/>
    <w:rsid w:val="00A55AB7"/>
    <w:rsid w:val="00A85C36"/>
    <w:rsid w:val="00A93086"/>
    <w:rsid w:val="00AA0B44"/>
    <w:rsid w:val="00AB7423"/>
    <w:rsid w:val="00AC17CF"/>
    <w:rsid w:val="00AC3A30"/>
    <w:rsid w:val="00AD2ECD"/>
    <w:rsid w:val="00B05BCA"/>
    <w:rsid w:val="00B076DA"/>
    <w:rsid w:val="00B240C6"/>
    <w:rsid w:val="00B25BA7"/>
    <w:rsid w:val="00B811BC"/>
    <w:rsid w:val="00B94EDE"/>
    <w:rsid w:val="00B97099"/>
    <w:rsid w:val="00B970FE"/>
    <w:rsid w:val="00BA56FE"/>
    <w:rsid w:val="00BB2DEA"/>
    <w:rsid w:val="00BC415B"/>
    <w:rsid w:val="00BD1A12"/>
    <w:rsid w:val="00BD33DE"/>
    <w:rsid w:val="00BD7BF3"/>
    <w:rsid w:val="00C4418F"/>
    <w:rsid w:val="00C62721"/>
    <w:rsid w:val="00C8255F"/>
    <w:rsid w:val="00CA1546"/>
    <w:rsid w:val="00CA303C"/>
    <w:rsid w:val="00CC39E6"/>
    <w:rsid w:val="00D04C2A"/>
    <w:rsid w:val="00D11815"/>
    <w:rsid w:val="00D462E0"/>
    <w:rsid w:val="00D55298"/>
    <w:rsid w:val="00DA0DC2"/>
    <w:rsid w:val="00DA638D"/>
    <w:rsid w:val="00DE2F6A"/>
    <w:rsid w:val="00DE5F3C"/>
    <w:rsid w:val="00DF3B4B"/>
    <w:rsid w:val="00DF4692"/>
    <w:rsid w:val="00E34ABA"/>
    <w:rsid w:val="00E53278"/>
    <w:rsid w:val="00E71187"/>
    <w:rsid w:val="00E91488"/>
    <w:rsid w:val="00EA2845"/>
    <w:rsid w:val="00EA7D4E"/>
    <w:rsid w:val="00ED0F15"/>
    <w:rsid w:val="00ED3DBE"/>
    <w:rsid w:val="00ED5E8A"/>
    <w:rsid w:val="00ED66B8"/>
    <w:rsid w:val="00EE34FB"/>
    <w:rsid w:val="00EE4146"/>
    <w:rsid w:val="00EF0BBE"/>
    <w:rsid w:val="00F01B99"/>
    <w:rsid w:val="00F625F6"/>
    <w:rsid w:val="00F63DD9"/>
    <w:rsid w:val="00F70DA9"/>
    <w:rsid w:val="00F72CF8"/>
    <w:rsid w:val="00FC7B6F"/>
    <w:rsid w:val="00FD4B1D"/>
    <w:rsid w:val="00FE27AD"/>
    <w:rsid w:val="00FF6536"/>
    <w:rsid w:val="00FF665C"/>
    <w:rsid w:val="0B243819"/>
    <w:rsid w:val="0EDFBC4D"/>
    <w:rsid w:val="14DF6764"/>
    <w:rsid w:val="15FCF67A"/>
    <w:rsid w:val="29E6CBDC"/>
    <w:rsid w:val="33FFC2C5"/>
    <w:rsid w:val="35844A7F"/>
    <w:rsid w:val="37DD90AB"/>
    <w:rsid w:val="3B54D1DE"/>
    <w:rsid w:val="3CF36E81"/>
    <w:rsid w:val="3D7E1144"/>
    <w:rsid w:val="3FFDB13D"/>
    <w:rsid w:val="3FFF0619"/>
    <w:rsid w:val="41562FF8"/>
    <w:rsid w:val="4FEFA8FA"/>
    <w:rsid w:val="52DFE25B"/>
    <w:rsid w:val="543175E7"/>
    <w:rsid w:val="574845E6"/>
    <w:rsid w:val="57DF22F1"/>
    <w:rsid w:val="5B772459"/>
    <w:rsid w:val="5EE1012E"/>
    <w:rsid w:val="5F3FDA0E"/>
    <w:rsid w:val="5F9F6F16"/>
    <w:rsid w:val="5FDC8BF4"/>
    <w:rsid w:val="5FF3246A"/>
    <w:rsid w:val="5FFA45F0"/>
    <w:rsid w:val="677C839A"/>
    <w:rsid w:val="6AFF5954"/>
    <w:rsid w:val="6BDF37AF"/>
    <w:rsid w:val="6DDD8619"/>
    <w:rsid w:val="757B2C3E"/>
    <w:rsid w:val="75BFD382"/>
    <w:rsid w:val="77DB5005"/>
    <w:rsid w:val="77DF9DB8"/>
    <w:rsid w:val="77EB217E"/>
    <w:rsid w:val="78EBC6C4"/>
    <w:rsid w:val="78FEF00C"/>
    <w:rsid w:val="79CFD32E"/>
    <w:rsid w:val="7A37242A"/>
    <w:rsid w:val="7AF10CED"/>
    <w:rsid w:val="7AFF540F"/>
    <w:rsid w:val="7B4EAFF0"/>
    <w:rsid w:val="7BBF9DBE"/>
    <w:rsid w:val="7BF5FD5E"/>
    <w:rsid w:val="7BFDE21D"/>
    <w:rsid w:val="7BFF3BAB"/>
    <w:rsid w:val="7DCF496C"/>
    <w:rsid w:val="7DFFE5E4"/>
    <w:rsid w:val="7EEB0C96"/>
    <w:rsid w:val="7F3FEAEE"/>
    <w:rsid w:val="7F9BE538"/>
    <w:rsid w:val="7FAB89F0"/>
    <w:rsid w:val="7FCF4448"/>
    <w:rsid w:val="7FD13327"/>
    <w:rsid w:val="7FEFD0F9"/>
    <w:rsid w:val="7FFEA1AD"/>
    <w:rsid w:val="7FFF501E"/>
    <w:rsid w:val="7FFF6297"/>
    <w:rsid w:val="8F569BC6"/>
    <w:rsid w:val="9F1B2B4E"/>
    <w:rsid w:val="A1EDECD8"/>
    <w:rsid w:val="ABFBDEF1"/>
    <w:rsid w:val="AFBE0776"/>
    <w:rsid w:val="AFBEEA60"/>
    <w:rsid w:val="B72FEBAC"/>
    <w:rsid w:val="B7F1A45D"/>
    <w:rsid w:val="BB32F03A"/>
    <w:rsid w:val="BD1FE0F1"/>
    <w:rsid w:val="BD7EA0B8"/>
    <w:rsid w:val="BDFF90F6"/>
    <w:rsid w:val="BE9F9748"/>
    <w:rsid w:val="BEFD541F"/>
    <w:rsid w:val="BF1F0B81"/>
    <w:rsid w:val="BF6F4C25"/>
    <w:rsid w:val="BFDFEFB6"/>
    <w:rsid w:val="BFEF7F2F"/>
    <w:rsid w:val="C2DCF860"/>
    <w:rsid w:val="C6DD245A"/>
    <w:rsid w:val="C74D6613"/>
    <w:rsid w:val="C9FB1C8D"/>
    <w:rsid w:val="CBBF9E9F"/>
    <w:rsid w:val="CE2D937D"/>
    <w:rsid w:val="CEBADE31"/>
    <w:rsid w:val="D9F92097"/>
    <w:rsid w:val="DA79AE6B"/>
    <w:rsid w:val="DB43B79B"/>
    <w:rsid w:val="DBFE5B8D"/>
    <w:rsid w:val="DBFF163B"/>
    <w:rsid w:val="DE4FA168"/>
    <w:rsid w:val="DFAB128C"/>
    <w:rsid w:val="DFD7C8AE"/>
    <w:rsid w:val="E3DF738B"/>
    <w:rsid w:val="E5794D1D"/>
    <w:rsid w:val="E67F16ED"/>
    <w:rsid w:val="E75A2963"/>
    <w:rsid w:val="E7FF4986"/>
    <w:rsid w:val="EBF7F366"/>
    <w:rsid w:val="EE9E869C"/>
    <w:rsid w:val="EEFA9303"/>
    <w:rsid w:val="EFCF7D70"/>
    <w:rsid w:val="F2EF02A5"/>
    <w:rsid w:val="F4FBB708"/>
    <w:rsid w:val="F73F9BC0"/>
    <w:rsid w:val="F7FD54E5"/>
    <w:rsid w:val="F8EB2945"/>
    <w:rsid w:val="FB9F24CA"/>
    <w:rsid w:val="FBE151FF"/>
    <w:rsid w:val="FBFBFD23"/>
    <w:rsid w:val="FDFF2986"/>
    <w:rsid w:val="FDFFF414"/>
    <w:rsid w:val="FEBBFA76"/>
    <w:rsid w:val="FEBFEEFA"/>
    <w:rsid w:val="FEF72A51"/>
    <w:rsid w:val="FF5FC71E"/>
    <w:rsid w:val="FF8F9FEC"/>
    <w:rsid w:val="FF97B35C"/>
    <w:rsid w:val="FF99DC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1"/>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8">
    <w:name w:val="Normal (Web)"/>
    <w:basedOn w:val="1"/>
    <w:semiHidden/>
    <w:unhideWhenUsed/>
    <w:qFormat/>
    <w:uiPriority w:val="99"/>
    <w:pPr>
      <w:spacing w:beforeAutospacing="1" w:afterAutospacing="1"/>
      <w:jc w:val="left"/>
    </w:pPr>
    <w:rPr>
      <w:kern w:val="0"/>
      <w:sz w:val="24"/>
    </w:rPr>
  </w:style>
  <w:style w:type="character" w:customStyle="1" w:styleId="11">
    <w:name w:val="页眉 Char"/>
    <w:basedOn w:val="10"/>
    <w:link w:val="6"/>
    <w:qFormat/>
    <w:uiPriority w:val="99"/>
    <w:rPr>
      <w:rFonts w:eastAsia="仿宋_GB2312"/>
      <w:kern w:val="2"/>
      <w:sz w:val="18"/>
      <w:szCs w:val="18"/>
    </w:rPr>
  </w:style>
  <w:style w:type="character" w:customStyle="1" w:styleId="12">
    <w:name w:val="页脚 Char"/>
    <w:basedOn w:val="10"/>
    <w:link w:val="5"/>
    <w:qFormat/>
    <w:uiPriority w:val="99"/>
    <w:rPr>
      <w:rFonts w:eastAsia="仿宋_GB2312"/>
      <w:kern w:val="2"/>
      <w:sz w:val="18"/>
      <w:szCs w:val="18"/>
    </w:rPr>
  </w:style>
  <w:style w:type="character" w:customStyle="1" w:styleId="13">
    <w:name w:val="批注框文本 Char"/>
    <w:basedOn w:val="10"/>
    <w:link w:val="4"/>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1258</Words>
  <Characters>7175</Characters>
  <Lines>59</Lines>
  <Paragraphs>16</Paragraphs>
  <TotalTime>162</TotalTime>
  <ScaleCrop>false</ScaleCrop>
  <LinksUpToDate>false</LinksUpToDate>
  <CharactersWithSpaces>8417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2021-11-06T16:53:00Z</dcterms:created>
  <dc:creator>刘 继伟</dc:creator>
  <cp:lastModifiedBy>huanghe</cp:lastModifiedBy>
  <cp:lastPrinted>2022-09-30T01:50:00Z</cp:lastPrinted>
  <dcterms:modified xsi:type="dcterms:W3CDTF">2022-09-29T18:18:06Z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