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A4" w:rsidRDefault="007B02A4" w:rsidP="007B02A4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7B02A4" w:rsidRDefault="007B02A4" w:rsidP="007B02A4">
      <w:pPr>
        <w:spacing w:line="720" w:lineRule="exact"/>
        <w:rPr>
          <w:rFonts w:ascii="黑体" w:eastAsia="黑体" w:hAnsi="黑体" w:cs="黑体" w:hint="eastAsia"/>
          <w:sz w:val="32"/>
          <w:szCs w:val="32"/>
        </w:rPr>
      </w:pPr>
    </w:p>
    <w:p w:rsidR="007B02A4" w:rsidRDefault="007B02A4" w:rsidP="007B02A4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“全国纪念邓小平同志诞辰120周年</w:t>
      </w:r>
    </w:p>
    <w:p w:rsidR="007B02A4" w:rsidRDefault="007B02A4" w:rsidP="007B02A4"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学术研讨会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论文印制要求</w:t>
      </w:r>
    </w:p>
    <w:p w:rsidR="007B02A4" w:rsidRDefault="007B02A4" w:rsidP="007B02A4">
      <w:pPr>
        <w:spacing w:line="7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B02A4" w:rsidRDefault="007B02A4" w:rsidP="007B02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1.推荐论文要按统一的要求印制（见所附样本）。</w:t>
      </w:r>
    </w:p>
    <w:p w:rsidR="007B02A4" w:rsidRDefault="007B02A4" w:rsidP="007B02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2.发排、付印前，推荐单位要负责对论文进行认真核校，避免错字、别字、漏字和标点不当，尤其要仔细核对全部引文，务求准确无误。</w:t>
      </w:r>
    </w:p>
    <w:p w:rsidR="007B02A4" w:rsidRDefault="007B02A4" w:rsidP="007B02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3.字体要求：大标题用二号方正小标宋简体，副标题用三号楷体，内容提要用小三号楷体。正文用三号仿宋，一级标题用三号黑体。注释用五号仿宋。作者简介用四号楷体。</w:t>
      </w:r>
    </w:p>
    <w:p w:rsidR="007B02A4" w:rsidRDefault="007B02A4" w:rsidP="007B02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4.行间距统一使用单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行距。</w:t>
      </w:r>
    </w:p>
    <w:p w:rsidR="007B02A4" w:rsidRDefault="007B02A4" w:rsidP="007B02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注释统一要求为脚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 w:rsidR="007B02A4" w:rsidRDefault="007B02A4" w:rsidP="007B02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6.版式要求：A4纸版式、默认页边距、页码居中、首页有页码。首页内容包括论文标题、作者姓名、内容提要，正文从第二页起，作者简介附在文末。</w:t>
      </w:r>
    </w:p>
    <w:p w:rsidR="007B02A4" w:rsidRDefault="007B02A4" w:rsidP="007B02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7.左侧骑缝装订。</w:t>
      </w:r>
    </w:p>
    <w:p w:rsidR="007B02A4" w:rsidRDefault="007B02A4" w:rsidP="007B02A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8.每篇论文一式2份，同时提交电子版。</w:t>
      </w:r>
    </w:p>
    <w:p w:rsidR="007B02A4" w:rsidRDefault="007B02A4" w:rsidP="007B02A4">
      <w:pPr>
        <w:rPr>
          <w:rFonts w:ascii="楷体" w:eastAsia="楷体" w:hAnsi="楷体" w:cs="楷体" w:hint="eastAsia"/>
          <w:szCs w:val="21"/>
        </w:rPr>
      </w:pPr>
    </w:p>
    <w:p w:rsidR="007B02A4" w:rsidRDefault="007B02A4" w:rsidP="007B02A4">
      <w:pPr>
        <w:rPr>
          <w:rFonts w:ascii="楷体" w:eastAsia="楷体" w:hAnsi="楷体" w:cs="楷体" w:hint="eastAsia"/>
          <w:szCs w:val="21"/>
        </w:rPr>
        <w:sectPr w:rsidR="007B02A4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B02A4" w:rsidRDefault="007B02A4" w:rsidP="007B02A4">
      <w:pPr>
        <w:spacing w:line="560" w:lineRule="exact"/>
        <w:rPr>
          <w:rFonts w:ascii="楷体_GB2312" w:eastAsia="楷体_GB2312" w:hAnsi="楷体_GB2312" w:cs="楷体_GB2312" w:hint="eastAsia"/>
          <w:sz w:val="28"/>
          <w:szCs w:val="28"/>
        </w:rPr>
      </w:pPr>
    </w:p>
    <w:p w:rsidR="007B02A4" w:rsidRDefault="007B02A4" w:rsidP="007B02A4">
      <w:pPr>
        <w:spacing w:line="560" w:lineRule="exact"/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“全国纪念邓小平同志诞辰120周年学术研讨会”推荐论文</w:t>
      </w:r>
    </w:p>
    <w:p w:rsidR="007B02A4" w:rsidRDefault="007B02A4" w:rsidP="007B02A4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7B02A4" w:rsidRDefault="007B02A4" w:rsidP="007B02A4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7B02A4" w:rsidRDefault="007B02A4" w:rsidP="007B02A4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7B02A4" w:rsidRDefault="007B02A4" w:rsidP="007B02A4">
      <w:pPr>
        <w:widowControl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中国共产党管党治党的基本经验</w:t>
      </w:r>
    </w:p>
    <w:p w:rsidR="007B02A4" w:rsidRDefault="007B02A4" w:rsidP="007B02A4">
      <w:pPr>
        <w:widowControl/>
        <w:jc w:val="center"/>
        <w:rPr>
          <w:rFonts w:ascii="楷体_GB2312" w:eastAsia="楷体_GB2312" w:hint="eastAsia"/>
          <w:sz w:val="30"/>
          <w:szCs w:val="30"/>
        </w:rPr>
      </w:pPr>
    </w:p>
    <w:p w:rsidR="007B02A4" w:rsidRDefault="007B02A4" w:rsidP="007B02A4">
      <w:pPr>
        <w:widowControl/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李  明</w:t>
      </w:r>
    </w:p>
    <w:p w:rsidR="007B02A4" w:rsidRDefault="007B02A4" w:rsidP="007B02A4">
      <w:pPr>
        <w:widowControl/>
        <w:jc w:val="center"/>
        <w:rPr>
          <w:rFonts w:ascii="楷体_GB2312" w:eastAsia="楷体_GB2312" w:hint="eastAsia"/>
          <w:sz w:val="30"/>
          <w:szCs w:val="30"/>
        </w:rPr>
      </w:pPr>
    </w:p>
    <w:p w:rsidR="007B02A4" w:rsidRDefault="007B02A4" w:rsidP="007B02A4">
      <w:pPr>
        <w:widowControl/>
        <w:ind w:firstLineChars="200" w:firstLine="6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内容摘要：100年来，中国共产党继承和发展马克思主义建党学说，坚持党要管党，从严治党，积累了丰富的管党治党经验……</w:t>
      </w:r>
    </w:p>
    <w:p w:rsidR="007B02A4" w:rsidRDefault="007B02A4" w:rsidP="007B02A4">
      <w:pPr>
        <w:widowControl/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7B02A4" w:rsidRDefault="007B02A4" w:rsidP="007B02A4">
      <w:pPr>
        <w:widowControl/>
        <w:spacing w:beforeLines="50" w:before="156" w:afterLines="50" w:after="156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（第二页起为正文）</w:t>
      </w:r>
    </w:p>
    <w:p w:rsidR="007B02A4" w:rsidRDefault="007B02A4" w:rsidP="007B02A4">
      <w:pPr>
        <w:widowControl/>
        <w:ind w:firstLineChars="200" w:firstLine="560"/>
        <w:jc w:val="left"/>
        <w:rPr>
          <w:rFonts w:ascii="宋体" w:hAnsi="宋体" w:hint="eastAsia"/>
          <w:sz w:val="28"/>
          <w:szCs w:val="28"/>
        </w:rPr>
        <w:sectPr w:rsidR="007B02A4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B02A4" w:rsidRDefault="007B02A4" w:rsidP="007B02A4">
      <w:pPr>
        <w:widowControl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总结和运用管党治党基本经验，对于推进新时代党的建设新的伟大工程，具有重要意义。</w:t>
      </w:r>
    </w:p>
    <w:p w:rsidR="007B02A4" w:rsidRDefault="007B02A4" w:rsidP="007B02A4">
      <w:pPr>
        <w:widowControl/>
        <w:ind w:firstLineChars="200" w:firstLine="640"/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一、必须把不忘初心、牢记使命作为党的建设永恒课题</w:t>
      </w:r>
    </w:p>
    <w:p w:rsidR="007B02A4" w:rsidRDefault="007B02A4" w:rsidP="007B02A4">
      <w:pPr>
        <w:widowControl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从辛亥革命之后到中国共产党成立之前, 带有政党性质的团体有300多个,但大多是昙花一现</w:t>
      </w:r>
      <w:r>
        <w:rPr>
          <w:rStyle w:val="a9"/>
          <w:rFonts w:ascii="仿宋_GB2312" w:eastAsia="仿宋_GB2312" w:hAnsi="仿宋_GB2312" w:cs="仿宋_GB2312" w:hint="eastAsia"/>
          <w:sz w:val="32"/>
          <w:szCs w:val="32"/>
        </w:rPr>
        <w:footnoteReference w:id="1"/>
      </w:r>
      <w:r>
        <w:rPr>
          <w:rFonts w:ascii="仿宋_GB2312" w:eastAsia="仿宋_GB2312" w:hAnsi="仿宋_GB2312" w:cs="仿宋_GB2312" w:hint="eastAsia"/>
          <w:sz w:val="32"/>
          <w:szCs w:val="32"/>
        </w:rPr>
        <w:t>。为什么中国共产党能够独树一帜,由小到大、由弱到强,……</w:t>
      </w:r>
    </w:p>
    <w:p w:rsidR="007B02A4" w:rsidRDefault="007B02A4" w:rsidP="007B02A4">
      <w:pPr>
        <w:widowControl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党一经成立,就把实现共产主义作为党的最高理想和最终目标,同时也在马克思主义指导下,分析了中国社会状况,提出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“为代表中国无产阶级及贫苦农人群众的利益而奋斗”</w:t>
      </w:r>
      <w:r>
        <w:rPr>
          <w:rStyle w:val="a9"/>
          <w:rFonts w:ascii="仿宋_GB2312" w:eastAsia="仿宋_GB2312" w:hAnsi="仿宋_GB2312" w:cs="仿宋_GB2312" w:hint="eastAsia"/>
          <w:sz w:val="32"/>
          <w:szCs w:val="32"/>
        </w:rPr>
        <w:footnoteReference w:id="2"/>
      </w:r>
      <w:r>
        <w:rPr>
          <w:rFonts w:ascii="仿宋_GB2312" w:eastAsia="仿宋_GB2312" w:hAnsi="仿宋_GB2312" w:cs="仿宋_GB2312" w:hint="eastAsia"/>
          <w:sz w:val="32"/>
          <w:szCs w:val="32"/>
        </w:rPr>
        <w:t>,建成大的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群众党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,提出民主革命纲领,义无反顾肩负起实现中华民族伟大复兴的历史使命。</w:t>
      </w:r>
    </w:p>
    <w:p w:rsidR="007B02A4" w:rsidRDefault="007B02A4" w:rsidP="007B02A4">
      <w:pPr>
        <w:widowControl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延安时期,毛泽东曾说过:“共产党人必须随时准备坚持真理,因为任何真理都是符合于人民利益的;共产党人必须随时准备修正错误,因为任何错误都是不符合于人民利益的。”</w:t>
      </w:r>
      <w:r>
        <w:rPr>
          <w:rStyle w:val="a9"/>
          <w:rFonts w:ascii="仿宋_GB2312" w:eastAsia="仿宋_GB2312" w:hAnsi="仿宋_GB2312" w:cs="仿宋_GB2312" w:hint="eastAsia"/>
          <w:sz w:val="32"/>
          <w:szCs w:val="32"/>
        </w:rPr>
        <w:footnoteReference w:id="3"/>
      </w:r>
      <w:r>
        <w:rPr>
          <w:rFonts w:ascii="仿宋_GB2312" w:eastAsia="仿宋_GB2312" w:hAnsi="仿宋_GB2312" w:cs="仿宋_GB2312" w:hint="eastAsia"/>
          <w:sz w:val="32"/>
          <w:szCs w:val="32"/>
        </w:rPr>
        <w:t>党的百年历史,并不是一帆风顺的,也曾历经坎坷,……</w:t>
      </w:r>
    </w:p>
    <w:p w:rsidR="007B02A4" w:rsidRDefault="007B02A4" w:rsidP="007B02A4">
      <w:pPr>
        <w:widowControl/>
        <w:ind w:firstLineChars="200" w:firstLine="560"/>
        <w:jc w:val="left"/>
        <w:rPr>
          <w:rFonts w:ascii="楷体_GB2312" w:eastAsia="楷体_GB2312" w:hAnsi="宋体" w:hint="eastAsia"/>
          <w:sz w:val="28"/>
          <w:szCs w:val="28"/>
        </w:rPr>
      </w:pPr>
    </w:p>
    <w:p w:rsidR="007B02A4" w:rsidRDefault="007B02A4" w:rsidP="007B02A4">
      <w:pPr>
        <w:widowControl/>
        <w:ind w:firstLineChars="200" w:firstLine="56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作者简介：李明……（请写明作者单位、职务、职称、研究专长、联系方式等信息）。</w:t>
      </w:r>
    </w:p>
    <w:p w:rsidR="007B02A4" w:rsidRDefault="007B02A4" w:rsidP="007B02A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E86EB2" w:rsidRPr="007B02A4" w:rsidRDefault="00E86EB2">
      <w:bookmarkStart w:id="0" w:name="_GoBack"/>
      <w:bookmarkEnd w:id="0"/>
    </w:p>
    <w:sectPr w:rsidR="00E86EB2" w:rsidRPr="007B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D7" w:rsidRDefault="00AA75D7" w:rsidP="007B02A4">
      <w:r>
        <w:separator/>
      </w:r>
    </w:p>
  </w:endnote>
  <w:endnote w:type="continuationSeparator" w:id="0">
    <w:p w:rsidR="00AA75D7" w:rsidRDefault="00AA75D7" w:rsidP="007B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A4" w:rsidRDefault="007B02A4">
    <w:pPr>
      <w:pStyle w:val="a5"/>
      <w:tabs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2A4" w:rsidRDefault="007B02A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7B02A4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7B02A4" w:rsidRDefault="007B02A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7B02A4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2A4" w:rsidRDefault="007B02A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2A4" w:rsidRDefault="007B02A4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7B02A4">
                            <w:rPr>
                              <w:noProof/>
                              <w:lang w:val="en-US" w:eastAsia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u2u2wAIA&#10;ALs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7B02A4" w:rsidRDefault="007B02A4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7B02A4">
                      <w:rPr>
                        <w:noProof/>
                        <w:lang w:val="en-US" w:eastAsia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D7" w:rsidRDefault="00AA75D7" w:rsidP="007B02A4">
      <w:r>
        <w:separator/>
      </w:r>
    </w:p>
  </w:footnote>
  <w:footnote w:type="continuationSeparator" w:id="0">
    <w:p w:rsidR="00AA75D7" w:rsidRDefault="00AA75D7" w:rsidP="007B02A4">
      <w:r>
        <w:continuationSeparator/>
      </w:r>
    </w:p>
  </w:footnote>
  <w:footnote w:id="1">
    <w:p w:rsidR="007B02A4" w:rsidRDefault="007B02A4" w:rsidP="007B02A4">
      <w:pPr>
        <w:pStyle w:val="a7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footnoteRef/>
      </w:r>
      <w:r>
        <w:rPr>
          <w:rFonts w:ascii="仿宋_GB2312" w:eastAsia="仿宋_GB2312" w:hAnsi="仿宋_GB2312" w:cs="仿宋_GB2312" w:hint="eastAsia"/>
          <w:sz w:val="21"/>
          <w:szCs w:val="21"/>
        </w:rPr>
        <w:t xml:space="preserve">  参见《人民日报》2021年8月18日。</w:t>
      </w:r>
    </w:p>
  </w:footnote>
  <w:footnote w:id="2">
    <w:p w:rsidR="007B02A4" w:rsidRDefault="007B02A4" w:rsidP="007B02A4">
      <w:pPr>
        <w:pStyle w:val="a7"/>
        <w:rPr>
          <w:rFonts w:ascii="仿宋_GB2312" w:eastAsia="仿宋_GB2312" w:hAnsi="仿宋_GB2312" w:cs="仿宋_GB2312" w:hint="eastAsia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footnoteRef/>
      </w:r>
      <w:r>
        <w:rPr>
          <w:rFonts w:ascii="仿宋_GB2312" w:eastAsia="仿宋_GB2312" w:hAnsi="仿宋_GB2312" w:cs="仿宋_GB2312" w:hint="eastAsia"/>
          <w:sz w:val="21"/>
          <w:szCs w:val="21"/>
        </w:rPr>
        <w:t xml:space="preserve"> 《建党以来重要文献选编》第 1 </w:t>
      </w:r>
      <w:r>
        <w:rPr>
          <w:rFonts w:ascii="仿宋_GB2312" w:eastAsia="仿宋_GB2312" w:hAnsi="仿宋_GB2312" w:cs="仿宋_GB2312" w:hint="eastAsia"/>
          <w:sz w:val="21"/>
          <w:szCs w:val="21"/>
        </w:rPr>
        <w:t>册,中央文献出版社 2011 年版,第 148 页。</w:t>
      </w:r>
    </w:p>
  </w:footnote>
  <w:footnote w:id="3">
    <w:p w:rsidR="007B02A4" w:rsidRDefault="007B02A4" w:rsidP="007B02A4">
      <w:pPr>
        <w:pStyle w:val="a7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footnoteRef/>
      </w:r>
      <w:r>
        <w:rPr>
          <w:rFonts w:ascii="仿宋_GB2312" w:eastAsia="仿宋_GB2312" w:hAnsi="仿宋_GB2312" w:cs="仿宋_GB2312" w:hint="eastAsia"/>
          <w:sz w:val="21"/>
          <w:szCs w:val="21"/>
        </w:rPr>
        <w:t xml:space="preserve"> 《毛泽东选集》第 3 </w:t>
      </w:r>
      <w:r>
        <w:rPr>
          <w:rFonts w:ascii="仿宋_GB2312" w:eastAsia="仿宋_GB2312" w:hAnsi="仿宋_GB2312" w:cs="仿宋_GB2312" w:hint="eastAsia"/>
          <w:sz w:val="21"/>
          <w:szCs w:val="21"/>
        </w:rPr>
        <w:t>卷,人民出版社 1991 年版,第1095页。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93"/>
    <w:rsid w:val="002A0493"/>
    <w:rsid w:val="007B02A4"/>
    <w:rsid w:val="00AA75D7"/>
    <w:rsid w:val="00E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D6C8C-B572-4439-84F1-E43AE7C3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A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02A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B0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7B02A4"/>
    <w:rPr>
      <w:sz w:val="18"/>
      <w:szCs w:val="18"/>
    </w:rPr>
  </w:style>
  <w:style w:type="paragraph" w:styleId="a7">
    <w:name w:val="footnote text"/>
    <w:basedOn w:val="a"/>
    <w:link w:val="a8"/>
    <w:qFormat/>
    <w:rsid w:val="007B02A4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rsid w:val="007B02A4"/>
    <w:rPr>
      <w:rFonts w:ascii="Calibri" w:eastAsia="宋体" w:hAnsi="Calibri" w:cs="Times New Roman"/>
      <w:sz w:val="18"/>
      <w:szCs w:val="18"/>
    </w:rPr>
  </w:style>
  <w:style w:type="character" w:styleId="a9">
    <w:name w:val="footnote reference"/>
    <w:qFormat/>
    <w:rsid w:val="007B02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>HP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2024-03-01T03:22:00Z</dcterms:created>
  <dcterms:modified xsi:type="dcterms:W3CDTF">2024-03-01T03:23:00Z</dcterms:modified>
</cp:coreProperties>
</file>