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</w:rPr>
        <w:t>各单位申报数量依据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申报单位为高校的，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双一流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建设高校限报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家，创建双一流高校限报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家，其他高校限报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申报单位为医院的，承担国家区域医疗中心试点项目的医院限报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家，其他医院限报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申报单位为科研院所的，省政府直属科研机构限报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家，其他科研院所限报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申报单位为企业的，限报</w:t>
      </w:r>
      <w:r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一、双一流高校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郑州大学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、河南大学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二、创建双一流高校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河南理工大学、河南农业大学、河南师范大学、河南科技大学、河南工业大学、河南中医药大学、华北水利水电大学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三、承担国家区域医疗中心试点项目的医院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阜外华中心血管病医院（河南省人民医院）、河南省肿瘤医院、郑州大学第一附属医院、河南省儿童医院（郑州儿童医院）、河南省中医院、郑州大学第三附属医院、新乡医学院第二附属医院、郑州市中心医院、洛阳市中心医院、洛阳市中医院、南阳市中医院、商丘市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四、省政府直属科研机构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rPr>
          <w:rFonts w:hint="default" w:ascii="Times New Roman" w:hAnsi="Times New Roman" w:cs="Times New Roman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河南省科学院、河南省农科院、河南省社科院、河南省医学科学院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zA5NWQ0YTA2ZWRkMjU5Y2Y0YTYzZWU3YWUwMjIifQ=="/>
  </w:docVars>
  <w:rsids>
    <w:rsidRoot w:val="00000000"/>
    <w:rsid w:val="4B3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2024-03-19T14:06:09Z</dcterms:created>
  <dc:creator>Think</dc:creator>
  <cp:lastModifiedBy>hp</cp:lastModifiedBy>
  <dcterms:modified xsi:type="dcterms:W3CDTF">2024-03-19T14:07:52Z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9A3D71D457894AE395357ACE43D3277A_12</vt:lpwstr>
  </property>
</Properties>
</file>