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z w:val="110"/>
          <w:szCs w:val="110"/>
        </w:rPr>
      </w:pPr>
      <w:r>
        <w:rPr>
          <w:rFonts w:hint="eastAsia" w:ascii="方正小标宋简体" w:eastAsia="方正小标宋简体"/>
          <w:color w:val="FF0000"/>
          <w:spacing w:val="4"/>
          <w:w w:val="60"/>
          <w:kern w:val="0"/>
          <w:sz w:val="110"/>
          <w:szCs w:val="110"/>
          <w:fitText w:val="8593" w:id="0"/>
        </w:rPr>
        <w:t>郑州师范学院学术委员会文</w:t>
      </w:r>
      <w:r>
        <w:rPr>
          <w:rFonts w:hint="eastAsia" w:ascii="方正小标宋简体" w:eastAsia="方正小标宋简体"/>
          <w:color w:val="FF0000"/>
          <w:spacing w:val="3"/>
          <w:w w:val="60"/>
          <w:kern w:val="0"/>
          <w:sz w:val="110"/>
          <w:szCs w:val="110"/>
          <w:fitText w:val="8593" w:id="0"/>
        </w:rPr>
        <w:t>件</w:t>
      </w:r>
    </w:p>
    <w:p>
      <w:pPr>
        <w:spacing w:line="500" w:lineRule="exact"/>
        <w:jc w:val="center"/>
        <w:rPr>
          <w:rFonts w:ascii="方正小标宋简体" w:eastAsia="方正小标宋简体"/>
          <w:color w:val="FF0000"/>
          <w:sz w:val="120"/>
          <w:szCs w:val="120"/>
        </w:rPr>
      </w:pPr>
    </w:p>
    <w:p>
      <w:pPr>
        <w:adjustRightInd w:val="0"/>
        <w:snapToGrid w:val="0"/>
        <w:spacing w:line="360" w:lineRule="auto"/>
        <w:jc w:val="center"/>
        <w:rPr>
          <w:rStyle w:val="10"/>
          <w:color w:val="000000"/>
        </w:rPr>
      </w:pPr>
      <w:r>
        <w:rPr>
          <w:rStyle w:val="10"/>
          <w:rFonts w:hint="eastAsia"/>
          <w:color w:val="000000"/>
        </w:rPr>
        <w:t>郑师学委〔</w:t>
      </w:r>
      <w:r>
        <w:rPr>
          <w:rStyle w:val="10"/>
          <w:color w:val="000000"/>
        </w:rPr>
        <w:t>201</w:t>
      </w:r>
      <w:r>
        <w:rPr>
          <w:rStyle w:val="10"/>
          <w:rFonts w:hint="eastAsia"/>
          <w:color w:val="000000"/>
        </w:rPr>
        <w:t>8〕5号</w:t>
      </w:r>
    </w:p>
    <w:p>
      <w:pPr>
        <w:jc w:val="center"/>
        <w:rPr>
          <w:rStyle w:val="9"/>
          <w:rFonts w:asciiTheme="minorHAnsi" w:hAnsiTheme="minorHAnsi" w:eastAsiaTheme="minorEastAsia" w:cstheme="minorBidi"/>
          <w:bCs/>
          <w:color w:val="auto"/>
          <w:sz w:val="32"/>
          <w:szCs w:val="28"/>
        </w:rPr>
      </w:pPr>
      <w:r>
        <w:pict>
          <v:line id="直接连接符 1" o:spid="_x0000_s1026" o:spt="20" style="position:absolute;left:0pt;margin-left:0pt;margin-top:0pt;height:0pt;width:450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autoSpaceDE w:val="0"/>
        <w:autoSpaceDN w:val="0"/>
        <w:adjustRightInd w:val="0"/>
        <w:spacing w:line="82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郑州师范学院</w:t>
      </w:r>
    </w:p>
    <w:p>
      <w:pPr>
        <w:autoSpaceDE w:val="0"/>
        <w:autoSpaceDN w:val="0"/>
        <w:adjustRightInd w:val="0"/>
        <w:spacing w:line="82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关于印发《郑州师范学院学术委员会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br w:type="textWrapping"/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教学指导专门委员会工作条例》的通知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校内各单位：</w:t>
      </w:r>
      <w:bookmarkStart w:id="0" w:name="_GoBack"/>
      <w:bookmarkEnd w:id="0"/>
    </w:p>
    <w:p>
      <w:pPr>
        <w:spacing w:line="6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《郑州师范学院学术委员会教学指导专门委员会工作条例》已经学校研究通过，现予印发，请认真贯彻执行。</w:t>
      </w:r>
    </w:p>
    <w:p>
      <w:pPr>
        <w:kinsoku w:val="0"/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shd w:val="clear" w:color="auto" w:fill="FFFFFF"/>
        </w:rPr>
      </w:pPr>
    </w:p>
    <w:p>
      <w:pPr>
        <w:kinsoku w:val="0"/>
        <w:overflowPunct w:val="0"/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shd w:val="clear" w:color="auto" w:fill="FFFFFF"/>
        </w:rPr>
      </w:pPr>
    </w:p>
    <w:p>
      <w:pPr>
        <w:kinsoku w:val="0"/>
        <w:overflowPunct w:val="0"/>
        <w:autoSpaceDE w:val="0"/>
        <w:autoSpaceDN w:val="0"/>
        <w:spacing w:line="560" w:lineRule="exact"/>
        <w:ind w:firstLine="4480" w:firstLineChars="1400"/>
        <w:jc w:val="left"/>
        <w:rPr>
          <w:rFonts w:hint="eastAsia" w:cs="宋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insoku w:val="0"/>
        <w:overflowPunct w:val="0"/>
        <w:autoSpaceDE w:val="0"/>
        <w:autoSpaceDN w:val="0"/>
        <w:spacing w:line="560" w:lineRule="exact"/>
        <w:ind w:firstLine="4480" w:firstLineChars="14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郑州师范学院学术委员会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2018</w:t>
      </w:r>
      <w:r>
        <w:rPr>
          <w:rFonts w:hint="eastAsia" w:ascii="仿宋_GB2312" w:hAnsi="仿宋" w:eastAsia="仿宋_GB2312"/>
          <w:sz w:val="32"/>
          <w:szCs w:val="32"/>
        </w:rPr>
        <w:t>年6月28日</w:t>
      </w:r>
    </w:p>
    <w:p>
      <w:pPr>
        <w:jc w:val="center"/>
        <w:rPr>
          <w:rStyle w:val="9"/>
          <w:rFonts w:hint="eastAsia" w:ascii="方正小标宋_GBK" w:eastAsia="方正小标宋_GBK"/>
        </w:rPr>
      </w:pPr>
    </w:p>
    <w:p>
      <w:pPr>
        <w:jc w:val="center"/>
        <w:rPr>
          <w:rStyle w:val="9"/>
          <w:rFonts w:hint="eastAsia" w:ascii="方正小标宋_GBK" w:eastAsia="方正小标宋_GBK"/>
        </w:rPr>
      </w:pPr>
    </w:p>
    <w:p>
      <w:pPr>
        <w:jc w:val="center"/>
        <w:rPr>
          <w:rStyle w:val="9"/>
          <w:rFonts w:hint="eastAsia" w:ascii="方正小标宋_GBK" w:eastAsia="方正小标宋_GBK"/>
        </w:rPr>
      </w:pPr>
    </w:p>
    <w:p>
      <w:pPr>
        <w:jc w:val="center"/>
        <w:rPr>
          <w:rStyle w:val="9"/>
          <w:rFonts w:ascii="方正小标宋_GBK" w:eastAsia="方正小标宋_GBK"/>
        </w:rPr>
      </w:pPr>
      <w:r>
        <w:rPr>
          <w:rStyle w:val="9"/>
          <w:rFonts w:hint="eastAsia" w:ascii="方正小标宋_GBK" w:eastAsia="方正小标宋_GBK"/>
        </w:rPr>
        <w:t>郑州师范学院学术委员会</w:t>
      </w:r>
      <w:r>
        <w:rPr>
          <w:rStyle w:val="9"/>
          <w:rFonts w:hint="eastAsia" w:ascii="方正小标宋_GBK" w:eastAsia="方正小标宋_GBK"/>
        </w:rPr>
        <w:br w:type="textWrapping"/>
      </w:r>
      <w:r>
        <w:rPr>
          <w:rStyle w:val="9"/>
          <w:rFonts w:hint="eastAsia" w:ascii="方正小标宋_GBK" w:eastAsia="方正小标宋_GBK"/>
        </w:rPr>
        <w:t>教学指导专门委员会工作条例</w:t>
      </w:r>
    </w:p>
    <w:p>
      <w:pPr>
        <w:jc w:val="center"/>
        <w:rPr>
          <w:rStyle w:val="12"/>
        </w:rPr>
      </w:pPr>
      <w:r>
        <w:rPr>
          <w:rStyle w:val="12"/>
        </w:rPr>
        <w:t>第一章 总</w:t>
      </w:r>
      <w:r>
        <w:rPr>
          <w:rStyle w:val="12"/>
          <w:rFonts w:hint="eastAsia"/>
        </w:rPr>
        <w:t xml:space="preserve">  </w:t>
      </w:r>
      <w:r>
        <w:rPr>
          <w:rStyle w:val="12"/>
        </w:rPr>
        <w:t>则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第一条</w:t>
      </w:r>
      <w:r>
        <w:rPr>
          <w:rStyle w:val="10"/>
          <w:color w:val="000000"/>
        </w:rPr>
        <w:t xml:space="preserve"> 为深化教育教学改革，提高教学水平和人才培养质量，加强教学工作的宏观指导以及管理、决策和评价的民主性、科学性，根据《</w:t>
      </w:r>
      <w:r>
        <w:rPr>
          <w:rStyle w:val="10"/>
          <w:rFonts w:hint="eastAsia"/>
          <w:color w:val="000000"/>
        </w:rPr>
        <w:t>郑州师范学院</w:t>
      </w:r>
      <w:r>
        <w:rPr>
          <w:rStyle w:val="10"/>
          <w:color w:val="000000"/>
        </w:rPr>
        <w:t>章程》和《</w:t>
      </w:r>
      <w:r>
        <w:rPr>
          <w:rStyle w:val="10"/>
          <w:rFonts w:hint="eastAsia"/>
          <w:color w:val="000000"/>
        </w:rPr>
        <w:t>郑州师范学院</w:t>
      </w:r>
      <w:r>
        <w:rPr>
          <w:rStyle w:val="10"/>
          <w:color w:val="000000"/>
        </w:rPr>
        <w:t>学术委员会章程》，特设立</w:t>
      </w:r>
      <w:r>
        <w:rPr>
          <w:rStyle w:val="10"/>
          <w:rFonts w:hint="eastAsia"/>
          <w:color w:val="000000"/>
        </w:rPr>
        <w:t>郑州师范学院</w:t>
      </w:r>
      <w:r>
        <w:rPr>
          <w:rStyle w:val="10"/>
          <w:color w:val="000000"/>
        </w:rPr>
        <w:t>学术委员会教学指导专门委员会（简称“教学指导委员会”），并制定本工作条例。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第二条</w:t>
      </w:r>
      <w:r>
        <w:rPr>
          <w:rStyle w:val="10"/>
          <w:color w:val="000000"/>
        </w:rPr>
        <w:t xml:space="preserve"> 教学指导委员会在校学术委员会的指导下，负责研究和指导学校的教学工作。</w:t>
      </w:r>
    </w:p>
    <w:p>
      <w:pPr>
        <w:adjustRightInd w:val="0"/>
        <w:snapToGrid w:val="0"/>
        <w:spacing w:line="360" w:lineRule="auto"/>
        <w:ind w:firstLine="707" w:firstLineChars="221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第三条</w:t>
      </w:r>
      <w:r>
        <w:rPr>
          <w:rStyle w:val="10"/>
          <w:color w:val="000000"/>
        </w:rPr>
        <w:t xml:space="preserve"> 教学指导委员会下设办公室，负责处理教学指导委员会的日常事务。办公室设在教务处</w:t>
      </w:r>
      <w:r>
        <w:rPr>
          <w:rStyle w:val="10"/>
          <w:rFonts w:hint="eastAsia"/>
          <w:color w:val="000000"/>
        </w:rPr>
        <w:t>。</w:t>
      </w:r>
    </w:p>
    <w:p>
      <w:pPr>
        <w:adjustRightInd w:val="0"/>
        <w:snapToGrid w:val="0"/>
        <w:spacing w:line="360" w:lineRule="auto"/>
        <w:jc w:val="center"/>
        <w:rPr>
          <w:rStyle w:val="12"/>
        </w:rPr>
      </w:pPr>
      <w:r>
        <w:rPr>
          <w:rStyle w:val="12"/>
        </w:rPr>
        <w:t>第二章 组织机构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第四条</w:t>
      </w:r>
      <w:r>
        <w:rPr>
          <w:rStyle w:val="10"/>
          <w:color w:val="000000"/>
        </w:rPr>
        <w:t xml:space="preserve"> 教学指导委员会委员（简称“教学委员”）人数为 </w:t>
      </w:r>
      <w:r>
        <w:rPr>
          <w:rStyle w:val="13"/>
          <w:rFonts w:hint="eastAsia" w:eastAsia="宋体"/>
        </w:rPr>
        <w:t>15</w:t>
      </w:r>
      <w:r>
        <w:rPr>
          <w:rStyle w:val="13"/>
          <w:rFonts w:eastAsia="宋体"/>
        </w:rPr>
        <w:t>~</w:t>
      </w:r>
      <w:r>
        <w:rPr>
          <w:rStyle w:val="13"/>
          <w:rFonts w:hint="eastAsia" w:eastAsia="宋体"/>
        </w:rPr>
        <w:t>25</w:t>
      </w:r>
      <w:r>
        <w:rPr>
          <w:rStyle w:val="10"/>
          <w:color w:val="000000"/>
        </w:rPr>
        <w:t>人的奇数，成员包括部分校领导、相关职能部门负责同志、各院（部）主管教学院（部）长、专家学者、学术委员会委员。具体组成依据《</w:t>
      </w:r>
      <w:r>
        <w:rPr>
          <w:rStyle w:val="10"/>
          <w:rFonts w:hint="eastAsia"/>
          <w:color w:val="000000"/>
        </w:rPr>
        <w:t>郑州师范学院</w:t>
      </w:r>
      <w:r>
        <w:rPr>
          <w:rStyle w:val="10"/>
          <w:color w:val="000000"/>
        </w:rPr>
        <w:t>学术委员会章程》有关规定，其中校学术委员会委员不少于 1/3。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Fonts w:ascii="宋体" w:hAnsi="宋体" w:eastAsia="宋体" w:cs="宋体"/>
          <w:sz w:val="24"/>
          <w:szCs w:val="24"/>
        </w:rPr>
      </w:pPr>
      <w:r>
        <w:rPr>
          <w:rStyle w:val="10"/>
          <w:color w:val="000000"/>
        </w:rPr>
        <w:t>教学委员由分管校领导、校学术委员会主任委员和相关职能处室协商，确定候选人，报校学术委员会审议通过。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第五条</w:t>
      </w:r>
      <w:r>
        <w:rPr>
          <w:rStyle w:val="10"/>
          <w:color w:val="000000"/>
        </w:rPr>
        <w:t xml:space="preserve"> 教学指导委员会设主任委员 1 名，副主任委员 </w:t>
      </w:r>
      <w:r>
        <w:rPr>
          <w:rStyle w:val="10"/>
          <w:rFonts w:hint="eastAsia"/>
          <w:color w:val="000000"/>
        </w:rPr>
        <w:t>1-</w:t>
      </w:r>
      <w:r>
        <w:rPr>
          <w:rStyle w:val="10"/>
          <w:color w:val="000000"/>
        </w:rPr>
        <w:t>2 名，主任委员为校学术委员会成员。主任、副主任委员由校学术委员会主任委员会议提名，经教学指导委员会选举产生。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第六条</w:t>
      </w:r>
      <w:r>
        <w:rPr>
          <w:rStyle w:val="10"/>
          <w:color w:val="000000"/>
        </w:rPr>
        <w:t xml:space="preserve"> 教学委员应当具备以下条件：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（一）遵守宪法法律，学风端正、治学严谨、公道正派；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（二）关心学校教学工作，有参与议事的意愿和能力，能够正常履行职责；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（三）应具有副教授或相当职称，具有正常履行职责的身体条件</w:t>
      </w:r>
      <w:r>
        <w:rPr>
          <w:rStyle w:val="10"/>
          <w:rFonts w:hint="eastAsia"/>
          <w:color w:val="000000"/>
        </w:rPr>
        <w:t>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第七条</w:t>
      </w:r>
      <w:r>
        <w:rPr>
          <w:rStyle w:val="10"/>
          <w:color w:val="000000"/>
        </w:rPr>
        <w:t xml:space="preserve"> 教学委员实行任期制，每届任期 4 年，可连选连任，但最多连任不得超过 2 届。校教学指导委员会每次换届，连任的委员人数不得超过委员总数的 2/3。换届时，年龄超过 5</w:t>
      </w:r>
      <w:r>
        <w:rPr>
          <w:rStyle w:val="10"/>
          <w:rFonts w:hint="eastAsia"/>
          <w:color w:val="000000"/>
        </w:rPr>
        <w:t>6</w:t>
      </w:r>
      <w:r>
        <w:rPr>
          <w:rStyle w:val="10"/>
          <w:color w:val="000000"/>
        </w:rPr>
        <w:t>周岁者，不提名为候选人。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第八条</w:t>
      </w:r>
      <w:r>
        <w:rPr>
          <w:rStyle w:val="10"/>
          <w:color w:val="000000"/>
        </w:rPr>
        <w:t xml:space="preserve"> 教学委员由于各种原因导致总人数低于规定人数时，应按以下原则和程序进行人员增补：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（一）空缺为校领导或相关职能处室负责人，补选委员应为校领导或相关职能处室负责人，由教学指导委员会提名，校学术委员会会议通过；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（二）空缺为专家学者，由教学指导委员会提名，校学术委员会会议通过；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1"/>
          <w:rFonts w:hint="default"/>
        </w:rPr>
      </w:pPr>
      <w:r>
        <w:rPr>
          <w:rStyle w:val="10"/>
          <w:color w:val="000000"/>
        </w:rPr>
        <w:t>（三）根据学校学科建设和学校发展需要补选其他委员，应由教学指导委员会提名，校学术委员会会议通过。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 xml:space="preserve">第九条 </w:t>
      </w:r>
      <w:r>
        <w:rPr>
          <w:rStyle w:val="10"/>
          <w:color w:val="000000"/>
        </w:rPr>
        <w:t>教学委员有下列情形之一者，经教学指导委员会提出、校学术委员会审议通过后，不再担任教学委员：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（一）本人书面申请辞去教学委员职务的；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（二）因身体、年龄及职务变动等原因不能或不宜履行职责的；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（三）怠于履行职责或者违反教学委员义务的；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（四）有违法、违反教师职业道德或者学术不端行为</w:t>
      </w:r>
      <w:r>
        <w:rPr>
          <w:rStyle w:val="10"/>
          <w:rFonts w:hint="eastAsia"/>
          <w:color w:val="000000"/>
        </w:rPr>
        <w:t>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（五）因其他原因不能或不宜担任教学委员职务的。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第十条</w:t>
      </w:r>
      <w:r>
        <w:rPr>
          <w:rStyle w:val="10"/>
          <w:color w:val="000000"/>
        </w:rPr>
        <w:t xml:space="preserve"> 教学委员享有以下权利：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（一）知悉与教学事务相关的学校各项管理制度、信息等；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（二）就教学事务向学校相关职能部门提出咨询或质询；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（三）在校教学委员会会议中自由、独立地发表意见，讨论、审议和表决各项决议；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（四）对学校教学事务及校教学指导委员会工作提出建议、实施监督；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（五）《</w:t>
      </w:r>
      <w:r>
        <w:rPr>
          <w:rStyle w:val="10"/>
          <w:rFonts w:hint="eastAsia"/>
          <w:color w:val="000000"/>
        </w:rPr>
        <w:t>郑州师范学院</w:t>
      </w:r>
      <w:r>
        <w:rPr>
          <w:rStyle w:val="10"/>
          <w:color w:val="000000"/>
        </w:rPr>
        <w:t>章程》、《</w:t>
      </w:r>
      <w:r>
        <w:rPr>
          <w:rStyle w:val="10"/>
          <w:rFonts w:hint="eastAsia"/>
          <w:color w:val="000000"/>
        </w:rPr>
        <w:t>郑州师范学院</w:t>
      </w:r>
      <w:r>
        <w:rPr>
          <w:rStyle w:val="10"/>
          <w:color w:val="000000"/>
        </w:rPr>
        <w:t>学术委员会章程》和本工作条例规定的其他权利</w:t>
      </w:r>
      <w:r>
        <w:rPr>
          <w:rStyle w:val="10"/>
          <w:rFonts w:hint="eastAsia"/>
          <w:color w:val="000000"/>
        </w:rPr>
        <w:t>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第十一条</w:t>
      </w:r>
      <w:r>
        <w:rPr>
          <w:rStyle w:val="10"/>
          <w:color w:val="000000"/>
        </w:rPr>
        <w:t xml:space="preserve"> 教学委员须履行以下义务：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（一）遵守国家宪法、法律和法规，遵守学术规范、恪守学术道德；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1"/>
          <w:rFonts w:hint="default"/>
        </w:rPr>
      </w:pPr>
      <w:r>
        <w:rPr>
          <w:rStyle w:val="10"/>
          <w:color w:val="000000"/>
        </w:rPr>
        <w:t>（二）遵守学术委员会章程和本工作条例，坚守学术专业判断，公正履行职责；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（三）勤勉尽职，积极参加教学指导委员会会议及有关活动；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（四）《</w:t>
      </w:r>
      <w:r>
        <w:rPr>
          <w:rStyle w:val="10"/>
          <w:rFonts w:hint="eastAsia"/>
          <w:color w:val="000000"/>
        </w:rPr>
        <w:t>郑州师范学院</w:t>
      </w:r>
      <w:r>
        <w:rPr>
          <w:rStyle w:val="10"/>
          <w:color w:val="000000"/>
        </w:rPr>
        <w:t>章程》《</w:t>
      </w:r>
      <w:r>
        <w:rPr>
          <w:rStyle w:val="10"/>
          <w:rFonts w:hint="eastAsia"/>
          <w:color w:val="000000"/>
        </w:rPr>
        <w:t>郑州师范学院</w:t>
      </w:r>
      <w:r>
        <w:rPr>
          <w:rStyle w:val="10"/>
          <w:color w:val="000000"/>
        </w:rPr>
        <w:t>学术委员会章程》和本工作条例规定的其他义务。</w:t>
      </w:r>
    </w:p>
    <w:p>
      <w:pPr>
        <w:adjustRightInd w:val="0"/>
        <w:snapToGrid w:val="0"/>
        <w:spacing w:line="360" w:lineRule="auto"/>
        <w:jc w:val="center"/>
        <w:rPr>
          <w:rStyle w:val="12"/>
        </w:rPr>
      </w:pPr>
      <w:r>
        <w:rPr>
          <w:rStyle w:val="12"/>
        </w:rPr>
        <w:t>第三章 工作职责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第十二条</w:t>
      </w:r>
      <w:r>
        <w:rPr>
          <w:rStyle w:val="10"/>
          <w:color w:val="000000"/>
        </w:rPr>
        <w:t xml:space="preserve"> 教学指导委员会根据校学术委员会的授权，积极开展有关教学的研究、审议、咨询、指导、评估等工作，主要职责如下：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1． 指导教学改革、教学管理、教学基本建设等教学工作；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2． 对学校有关教学的发展规划和重要决策提出建议；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3． 评审、推荐各级各类教学奖；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4． 评审推荐各级各类教学建设、教学研究与教材规划等项目；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5． 校学术委员会授权委托的其它工作。</w:t>
      </w:r>
    </w:p>
    <w:p>
      <w:pPr>
        <w:adjustRightInd w:val="0"/>
        <w:snapToGrid w:val="0"/>
        <w:spacing w:line="360" w:lineRule="auto"/>
        <w:jc w:val="center"/>
        <w:rPr>
          <w:rStyle w:val="12"/>
        </w:rPr>
      </w:pPr>
      <w:r>
        <w:rPr>
          <w:rStyle w:val="12"/>
        </w:rPr>
        <w:t>第四章 议事规则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第十三条</w:t>
      </w:r>
      <w:r>
        <w:rPr>
          <w:rStyle w:val="10"/>
          <w:color w:val="000000"/>
        </w:rPr>
        <w:t xml:space="preserve"> 教学指导委员会根据学校教学工作的需要，在主任委员的主持下开展工作，按规定进行各项指导、审议和监督工作。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第十四条</w:t>
      </w:r>
      <w:r>
        <w:rPr>
          <w:rStyle w:val="10"/>
          <w:color w:val="000000"/>
        </w:rPr>
        <w:t xml:space="preserve"> 教学指导委员会实行例会制度，每学期至少召开 1次全体会议。针对职责所规定的具体工作进行指导、审议和监督。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color w:val="000000"/>
        </w:rPr>
        <w:t>教学指导委员会可根据需要不定期召开会议，处理有关事务。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第十五条</w:t>
      </w:r>
      <w:r>
        <w:rPr>
          <w:rStyle w:val="10"/>
          <w:color w:val="000000"/>
        </w:rPr>
        <w:t xml:space="preserve"> 教学指导委员会会议由主任委员或主任委员委托的副主任委员主持。委员会需要做出决议时，须有 2/3 以上委员到会，且有与会的 1/2（含）以上委员同意，重大事项应当有与会的 2/3 以上委员同意,决议方为有效。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第十六条</w:t>
      </w:r>
      <w:r>
        <w:rPr>
          <w:rStyle w:val="10"/>
          <w:color w:val="000000"/>
        </w:rPr>
        <w:t xml:space="preserve"> 教学指导委员会委员一般不得缺席教学指导委员会会议，因故不能出席的，须在教学指导委员会办公室备案。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第十七条</w:t>
      </w:r>
      <w:r>
        <w:rPr>
          <w:rStyle w:val="10"/>
          <w:color w:val="000000"/>
        </w:rPr>
        <w:t xml:space="preserve"> 教学指导委员会会议实行回避制度，在讨论、审议或评定与委员及其亲属有关的事项时，该委员须回避。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第十八条</w:t>
      </w:r>
      <w:r>
        <w:rPr>
          <w:rStyle w:val="10"/>
          <w:color w:val="000000"/>
        </w:rPr>
        <w:t xml:space="preserve"> 教学指导委员会做出的决定，在异议期内如有异议，须征得半数以上委员同意，方可召开全体会议复议。经复议通过的决定不再复议。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Fonts w:ascii="楷体_GB2312" w:hAnsi="宋体" w:eastAsia="楷体_GB2312" w:cs="Times New Roman"/>
          <w:sz w:val="32"/>
          <w:szCs w:val="32"/>
        </w:rPr>
        <w:t>第十九条</w:t>
      </w:r>
      <w:r>
        <w:rPr>
          <w:rStyle w:val="10"/>
          <w:color w:val="000000"/>
        </w:rPr>
        <w:t xml:space="preserve"> 教学指导委员会评议、审议、评定的相关教学事宜所形成的决议应报校学术委员会备案。校教学指导委员会应定期向校学术委员会报告工作，接受校学术委员会的指导和监督。</w:t>
      </w:r>
    </w:p>
    <w:p>
      <w:pPr>
        <w:adjustRightInd w:val="0"/>
        <w:snapToGrid w:val="0"/>
        <w:spacing w:line="360" w:lineRule="auto"/>
        <w:jc w:val="center"/>
        <w:rPr>
          <w:rStyle w:val="12"/>
        </w:rPr>
      </w:pPr>
      <w:r>
        <w:rPr>
          <w:rStyle w:val="12"/>
        </w:rPr>
        <w:t>第五章 附</w:t>
      </w:r>
      <w:r>
        <w:rPr>
          <w:rStyle w:val="12"/>
          <w:rFonts w:hint="eastAsia"/>
        </w:rPr>
        <w:t xml:space="preserve">  </w:t>
      </w:r>
      <w:r>
        <w:rPr>
          <w:rStyle w:val="12"/>
        </w:rPr>
        <w:t>则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Style w:val="10"/>
          <w:color w:val="000000"/>
        </w:rPr>
      </w:pPr>
      <w:r>
        <w:rPr>
          <w:rStyle w:val="10"/>
          <w:rFonts w:ascii="楷体" w:hAnsi="楷体" w:eastAsia="楷体"/>
          <w:color w:val="000000"/>
        </w:rPr>
        <w:t>第二十条</w:t>
      </w:r>
      <w:r>
        <w:rPr>
          <w:rStyle w:val="10"/>
          <w:color w:val="000000"/>
        </w:rPr>
        <w:t xml:space="preserve"> 本条例经校学术委员会审议通过后，自公布之日起施行。修改本条例须由教学指导委员会主任委员提议，或者三分之一（含）以上委员联名提议，修改方案同样须经校学术委员会审定通过。</w:t>
      </w:r>
    </w:p>
    <w:p>
      <w:pPr>
        <w:adjustRightInd w:val="0"/>
        <w:snapToGrid w:val="0"/>
        <w:spacing w:line="360" w:lineRule="auto"/>
        <w:ind w:firstLine="707" w:firstLineChars="221"/>
        <w:jc w:val="left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Style w:val="10"/>
          <w:rFonts w:ascii="楷体" w:hAnsi="楷体" w:eastAsia="楷体"/>
          <w:color w:val="000000"/>
        </w:rPr>
        <w:t>第二十一条</w:t>
      </w:r>
      <w:r>
        <w:rPr>
          <w:rStyle w:val="10"/>
          <w:color w:val="000000"/>
        </w:rPr>
        <w:t xml:space="preserve"> 本条例由教学指导委员会负责解释。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widowControl/>
        <w:jc w:val="left"/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ascii="黑体" w:hAnsi="宋体" w:eastAsia="黑体" w:cs="黑体"/>
          <w:color w:val="000000"/>
          <w:sz w:val="32"/>
          <w:szCs w:val="32"/>
        </w:rPr>
        <w:br w:type="page"/>
      </w: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kern w:val="0"/>
          <w:sz w:val="28"/>
          <w:szCs w:val="28"/>
          <w:u w:val="single"/>
        </w:rPr>
      </w:pPr>
      <w:r>
        <w:rPr>
          <w:rFonts w:hint="eastAsia"/>
          <w:spacing w:val="20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440" w:lineRule="exact"/>
        <w:rPr>
          <w:rFonts w:hint="eastAsia"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主送：校内各单位</w:t>
      </w:r>
    </w:p>
    <w:p>
      <w:pPr>
        <w:spacing w:line="80" w:lineRule="exact"/>
        <w:rPr>
          <w:rFonts w:hint="eastAsia" w:ascii="仿宋_GB2312" w:eastAsia="仿宋_GB2312"/>
          <w:spacing w:val="20"/>
          <w:kern w:val="0"/>
          <w:sz w:val="28"/>
          <w:szCs w:val="28"/>
          <w:u w:val="single"/>
        </w:rPr>
      </w:pPr>
      <w:r>
        <w:rPr>
          <w:rFonts w:hint="eastAsia" w:ascii="仿宋_GB2312" w:eastAsia="仿宋_GB2312"/>
          <w:spacing w:val="20"/>
          <w:kern w:val="0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440" w:lineRule="exact"/>
        <w:rPr>
          <w:rFonts w:ascii="仿宋_GB2312" w:eastAsia="仿宋_GB2312"/>
          <w:spacing w:val="20"/>
          <w:kern w:val="0"/>
          <w:sz w:val="28"/>
          <w:szCs w:val="28"/>
          <w:u w:val="single"/>
        </w:rPr>
      </w:pPr>
      <w:r>
        <w:rPr>
          <w:rFonts w:hint="eastAsia" w:ascii="仿宋_GB2312" w:eastAsia="仿宋_GB2312" w:cs="宋体"/>
          <w:sz w:val="28"/>
          <w:szCs w:val="28"/>
        </w:rPr>
        <w:t>郑州师范学院学术委员会                  2018年6月28日印发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484415"/>
      <w:docPartObj>
        <w:docPartGallery w:val="AutoText"/>
      </w:docPartObj>
    </w:sdtPr>
    <w:sdtContent>
      <w:sdt>
        <w:sdtPr>
          <w:id w:val="-105736995"/>
          <w:docPartObj>
            <w:docPartGallery w:val="AutoText"/>
          </w:docPartObj>
        </w:sdtPr>
        <w:sdtEndPr>
          <w:rPr>
            <w:lang w:val="zh-CN"/>
          </w:rPr>
        </w:sdtEndPr>
        <w:sdtContent>
          <w:p>
            <w:pPr>
              <w:pStyle w:val="2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—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begin"/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instrText xml:space="preserve">PAGE  </w:instrTex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separate"/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end"/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—</w:t>
            </w:r>
          </w:p>
        </w:sdtContent>
      </w:sdt>
      <w:p>
        <w:pPr>
          <w:pStyle w:val="2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982954"/>
      <w:docPartObj>
        <w:docPartGallery w:val="AutoText"/>
      </w:docPartObj>
    </w:sdtPr>
    <w:sdtContent>
      <w:sdt>
        <w:sdtPr>
          <w:id w:val="-107512364"/>
          <w:docPartObj>
            <w:docPartGallery w:val="AutoText"/>
          </w:docPartObj>
        </w:sdtPr>
        <w:sdtEndPr>
          <w:rPr>
            <w:lang w:val="zh-CN"/>
          </w:rPr>
        </w:sdtEndPr>
        <w:sdtContent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—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begin"/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instrText xml:space="preserve">PAGE  </w:instrTex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separate"/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end"/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—</w:t>
            </w:r>
          </w:p>
        </w:sdtContent>
      </w:sdt>
      <w:p>
        <w:pPr>
          <w:pStyle w:val="2"/>
          <w:rPr>
            <w:sz w:val="21"/>
            <w:szCs w:val="22"/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2B9"/>
    <w:rsid w:val="000B49DF"/>
    <w:rsid w:val="000C7E12"/>
    <w:rsid w:val="00190934"/>
    <w:rsid w:val="001B1A6E"/>
    <w:rsid w:val="002844A6"/>
    <w:rsid w:val="002E7F5A"/>
    <w:rsid w:val="00323E11"/>
    <w:rsid w:val="00331971"/>
    <w:rsid w:val="00362C64"/>
    <w:rsid w:val="005576F2"/>
    <w:rsid w:val="005C5448"/>
    <w:rsid w:val="006077EB"/>
    <w:rsid w:val="006A32B9"/>
    <w:rsid w:val="006C04E4"/>
    <w:rsid w:val="007C75A9"/>
    <w:rsid w:val="0083693A"/>
    <w:rsid w:val="0091313F"/>
    <w:rsid w:val="00A05276"/>
    <w:rsid w:val="00A1587D"/>
    <w:rsid w:val="00CC350F"/>
    <w:rsid w:val="00DF3325"/>
    <w:rsid w:val="00E35E4A"/>
    <w:rsid w:val="00EB51CD"/>
    <w:rsid w:val="00ED4F72"/>
    <w:rsid w:val="00F73983"/>
    <w:rsid w:val="052F5944"/>
    <w:rsid w:val="10FC084E"/>
    <w:rsid w:val="4A393B13"/>
    <w:rsid w:val="52F04DFB"/>
    <w:rsid w:val="7F6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  <w:style w:type="character" w:customStyle="1" w:styleId="9">
    <w:name w:val="fontstyle01"/>
    <w:basedOn w:val="4"/>
    <w:qFormat/>
    <w:uiPriority w:val="0"/>
    <w:rPr>
      <w:rFonts w:ascii="Arial Unicode MS" w:hAnsi="Arial Unicode MS" w:eastAsia="Arial Unicode MS" w:cs="Arial Unicode MS"/>
      <w:color w:val="000000"/>
      <w:sz w:val="44"/>
      <w:szCs w:val="44"/>
    </w:rPr>
  </w:style>
  <w:style w:type="character" w:customStyle="1" w:styleId="10">
    <w:name w:val="fontstyle11"/>
    <w:basedOn w:val="4"/>
    <w:qFormat/>
    <w:uiPriority w:val="0"/>
    <w:rPr>
      <w:rFonts w:ascii="仿宋" w:hAnsi="仿宋" w:eastAsia="仿宋" w:cs="仿宋"/>
      <w:color w:val="333333"/>
      <w:sz w:val="32"/>
      <w:szCs w:val="32"/>
    </w:rPr>
  </w:style>
  <w:style w:type="character" w:customStyle="1" w:styleId="11">
    <w:name w:val="fontstyle31"/>
    <w:basedOn w:val="4"/>
    <w:uiPriority w:val="0"/>
    <w:rPr>
      <w:rFonts w:hint="eastAsia" w:ascii="宋体" w:hAnsi="宋体" w:eastAsia="宋体" w:cs="宋体"/>
      <w:color w:val="000000"/>
      <w:sz w:val="28"/>
      <w:szCs w:val="28"/>
    </w:rPr>
  </w:style>
  <w:style w:type="character" w:customStyle="1" w:styleId="12">
    <w:name w:val="fontstyle41"/>
    <w:basedOn w:val="4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3">
    <w:name w:val="fontstyle5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413</Words>
  <Characters>2360</Characters>
  <Lines>19</Lines>
  <Paragraphs>5</Paragraphs>
  <TotalTime>27</TotalTime>
  <ScaleCrop>false</ScaleCrop>
  <LinksUpToDate>false</LinksUpToDate>
  <CharactersWithSpaces>2768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2018-05-24T08:12:00Z</dcterms:created>
  <dc:creator>Administrator</dc:creator>
  <cp:lastModifiedBy>Administrator</cp:lastModifiedBy>
  <dcterms:modified xsi:type="dcterms:W3CDTF">2018-07-27T03:01:49Z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