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学校各单位：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 w:firstLine="520" w:firstLineChars="200"/>
        <w:jc w:val="both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根据2016年郑州市地方高等教育工作安排，结合我校实际情况，现将地方高校高层次人才培养与引进、精品资源共享课程评审、教学团队遴选、示范性实训基地（中心）评选等工作具体通知如下：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 w:firstLine="520" w:firstLineChars="200"/>
        <w:jc w:val="both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（根据我校校级教学建设项目管理规定，“精品资源共享课程”、“教学团队”在已上交中期考核报告的校级建设项目中遴选推荐。）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720" w:firstLineChars="225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开展</w:t>
      </w:r>
      <w:r>
        <w:rPr>
          <w:rFonts w:hint="eastAsia" w:ascii="黑体" w:eastAsia="黑体"/>
          <w:sz w:val="32"/>
          <w:szCs w:val="32"/>
        </w:rPr>
        <w:t>郑州地方高校</w:t>
      </w:r>
      <w:r>
        <w:rPr>
          <w:rFonts w:hint="eastAsia" w:ascii="黑体" w:eastAsia="黑体"/>
          <w:sz w:val="32"/>
          <w:szCs w:val="32"/>
          <w:lang w:val="en-US" w:eastAsia="zh-CN"/>
        </w:rPr>
        <w:t>第六批特聘高层次人才结项及</w:t>
      </w:r>
      <w:r>
        <w:rPr>
          <w:rFonts w:hint="eastAsia" w:ascii="黑体" w:eastAsia="黑体"/>
          <w:sz w:val="32"/>
          <w:szCs w:val="32"/>
        </w:rPr>
        <w:t>第</w:t>
      </w:r>
      <w:r>
        <w:rPr>
          <w:rFonts w:hint="eastAsia" w:ascii="黑体" w:eastAsia="黑体"/>
          <w:sz w:val="32"/>
          <w:szCs w:val="32"/>
          <w:lang w:eastAsia="zh-CN"/>
        </w:rPr>
        <w:t>七</w:t>
      </w:r>
      <w:r>
        <w:rPr>
          <w:rFonts w:hint="eastAsia" w:ascii="黑体" w:eastAsia="黑体"/>
          <w:sz w:val="32"/>
          <w:szCs w:val="32"/>
        </w:rPr>
        <w:t>批特聘高层次人才</w:t>
      </w:r>
      <w:r>
        <w:rPr>
          <w:rFonts w:hint="eastAsia" w:ascii="黑体" w:eastAsia="黑体"/>
          <w:sz w:val="32"/>
          <w:szCs w:val="32"/>
          <w:lang w:val="en-US" w:eastAsia="zh-CN"/>
        </w:rPr>
        <w:t>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（一）第六批特聘高层次人才结项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 w:firstLine="520" w:firstLineChars="20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1.考核内容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 w:firstLine="52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（1）关于人才培养、教学研究、科学研究方面的完成情况、出现的问题以及对策（2014.09-2016.04）；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 w:firstLine="52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（2）对所在学科的梯队建设情况以及带动作用；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 w:firstLine="52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（3）特聘人才专项资金使用情况。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 w:firstLine="520" w:firstLineChars="20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2.考核程序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</w:rPr>
        <w:t>（1）被考核人提交相关考核材料；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</w:rPr>
        <w:t>（2）人事处、教务处、科研处审核被考核人员的考核材料并签署意见。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3.考核人员名单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/>
        <w:jc w:val="center"/>
        <w:textAlignment w:val="auto"/>
        <w:rPr>
          <w:rFonts w:hint="eastAsia" w:ascii="微软雅黑" w:hAnsi="微软雅黑" w:eastAsia="微软雅黑" w:cs="微软雅黑"/>
          <w:sz w:val="26"/>
          <w:szCs w:val="26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第六批特聘高层次人才名单</w:t>
      </w:r>
    </w:p>
    <w:tbl>
      <w:tblPr>
        <w:tblStyle w:val="7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323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  <w:t>类型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  <w:t>姓名</w:t>
            </w:r>
          </w:p>
        </w:tc>
        <w:tc>
          <w:tcPr>
            <w:tcW w:w="23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  <w:t>受聘学科</w:t>
            </w:r>
          </w:p>
        </w:tc>
        <w:tc>
          <w:tcPr>
            <w:tcW w:w="268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  <w:t>专职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  <w:t>陈国维</w:t>
            </w:r>
          </w:p>
        </w:tc>
        <w:tc>
          <w:tcPr>
            <w:tcW w:w="23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  <w:t>教育学原理</w:t>
            </w:r>
          </w:p>
        </w:tc>
        <w:tc>
          <w:tcPr>
            <w:tcW w:w="268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  <w:t>教育科学学院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  <w:t>专职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  <w:t>曲金柱</w:t>
            </w:r>
          </w:p>
        </w:tc>
        <w:tc>
          <w:tcPr>
            <w:tcW w:w="23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  <w:t>园艺技术</w:t>
            </w:r>
          </w:p>
        </w:tc>
        <w:tc>
          <w:tcPr>
            <w:tcW w:w="268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  <w:t>专职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  <w:t>胡明生</w:t>
            </w:r>
          </w:p>
        </w:tc>
        <w:tc>
          <w:tcPr>
            <w:tcW w:w="23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  <w:t>计算机应用技术</w:t>
            </w:r>
          </w:p>
        </w:tc>
        <w:tc>
          <w:tcPr>
            <w:tcW w:w="268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  <w:t>信息科学与技术学院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  <w:t>专职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  <w:t>王桂花</w:t>
            </w:r>
          </w:p>
        </w:tc>
        <w:tc>
          <w:tcPr>
            <w:tcW w:w="23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  <w:t>数学教育</w:t>
            </w:r>
          </w:p>
        </w:tc>
        <w:tc>
          <w:tcPr>
            <w:tcW w:w="268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  <w:t>专职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  <w:t>王国良</w:t>
            </w:r>
          </w:p>
        </w:tc>
        <w:tc>
          <w:tcPr>
            <w:tcW w:w="23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  <w:t>音乐学</w:t>
            </w:r>
          </w:p>
        </w:tc>
        <w:tc>
          <w:tcPr>
            <w:tcW w:w="268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  <w:vertAlign w:val="baseline"/>
                <w:lang w:val="en-US" w:eastAsia="zh-CN"/>
              </w:rPr>
              <w:t>音乐与舞蹈学院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4.</w:t>
      </w:r>
      <w:r>
        <w:rPr>
          <w:rFonts w:hint="eastAsia" w:ascii="楷体_GB2312" w:hAnsi="楷体_GB2312" w:eastAsia="楷体_GB2312" w:cs="楷体_GB2312"/>
          <w:sz w:val="28"/>
          <w:szCs w:val="28"/>
        </w:rPr>
        <w:t>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请按照材料提交时间进度表提交以下相关材料：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 w:firstLine="520" w:firstLineChars="20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（1）</w:t>
      </w:r>
      <w:r>
        <w:rPr>
          <w:rFonts w:hint="eastAsia" w:ascii="楷体_GB2312" w:hAnsi="楷体_GB2312" w:eastAsia="楷体_GB2312" w:cs="楷体_GB2312"/>
          <w:sz w:val="28"/>
          <w:szCs w:val="28"/>
        </w:rPr>
        <w:t>201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28"/>
          <w:szCs w:val="28"/>
        </w:rPr>
        <w:t>-201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28"/>
          <w:szCs w:val="28"/>
        </w:rPr>
        <w:t>年度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郑州市地方高校第六批特聘高层次人才工作总结（纸质两份，电子一份）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 w:firstLine="520" w:firstLineChars="20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认真填写《特聘高层次人才年度考核表》（2015、2016年度）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auto"/>
          <w:lang w:val="en-US" w:eastAsia="zh-CN"/>
        </w:rPr>
        <w:t>（附件1)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，一式两份并提交电子版；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 w:firstLine="520" w:firstLineChars="20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准备相关支撑材料并装订成册。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 w:firstLine="520" w:firstLineChars="20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将上述材料封装至一个牛皮纸袋，封面用A4打印“所报项目标题、所属学院、学科名称、申报人”等信息黏贴。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(5)</w:t>
      </w:r>
      <w:r>
        <w:rPr>
          <w:rFonts w:hint="eastAsia" w:ascii="楷体_GB2312" w:hAnsi="楷体_GB2312" w:eastAsia="楷体_GB2312" w:cs="楷体_GB2312"/>
          <w:sz w:val="28"/>
          <w:szCs w:val="28"/>
        </w:rPr>
        <w:t>报送时间及地点：201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29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</w:rPr>
        <w:t>日，报送至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老校区特教612办公室，电话：86523086。</w:t>
      </w:r>
      <w:r>
        <w:rPr>
          <w:rFonts w:hint="eastAsia" w:ascii="楷体_GB2312" w:hAnsi="楷体_GB2312" w:eastAsia="楷体_GB2312" w:cs="楷体_GB2312"/>
          <w:sz w:val="28"/>
          <w:szCs w:val="28"/>
        </w:rPr>
        <w:t>同时报送上述材料的电子版。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（二）第七批特聘高层次人才立项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 w:firstLine="520" w:firstLineChars="20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立项程序</w:t>
      </w:r>
    </w:p>
    <w:p>
      <w:pPr>
        <w:snapToGrid w:val="0"/>
        <w:jc w:val="lef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（1）各教学单位向学校申请郑州地方高校第七批高层次人才特聘岗位，并认真填写《高层次人才特聘岗位申请表》（附件2）；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（2）学校依据相关条件和要求，组织专家审议，确定岗位，并发布《通知公告》；</w:t>
      </w:r>
    </w:p>
    <w:p>
      <w:pPr>
        <w:jc w:val="lef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（3）根据岗位设置，各岗位所在学院按照要求招聘相应高层次人才，填写《特聘高层次人才候选人推荐表》（附件3）并报郑州市教育局备案。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 w:firstLine="520" w:firstLineChars="20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2.要求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（1）</w:t>
      </w:r>
      <w:r>
        <w:rPr>
          <w:rFonts w:hint="eastAsia" w:ascii="楷体_GB2312" w:hAnsi="楷体_GB2312" w:eastAsia="楷体_GB2312" w:cs="楷体_GB2312"/>
          <w:sz w:val="28"/>
          <w:szCs w:val="28"/>
        </w:rPr>
        <w:t>结合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学院</w:t>
      </w:r>
      <w:r>
        <w:rPr>
          <w:rFonts w:hint="eastAsia" w:ascii="楷体_GB2312" w:hAnsi="楷体_GB2312" w:eastAsia="楷体_GB2312" w:cs="楷体_GB2312"/>
          <w:sz w:val="28"/>
          <w:szCs w:val="28"/>
        </w:rPr>
        <w:t>专业建设实际研究申报郑州地方高校第七批高层次人才特聘岗位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28"/>
          <w:szCs w:val="28"/>
        </w:rPr>
        <w:t>拟申报的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学院</w:t>
      </w:r>
      <w:r>
        <w:rPr>
          <w:rFonts w:hint="eastAsia" w:ascii="楷体_GB2312" w:hAnsi="楷体_GB2312" w:eastAsia="楷体_GB2312" w:cs="楷体_GB2312"/>
          <w:sz w:val="28"/>
          <w:szCs w:val="28"/>
        </w:rPr>
        <w:t>要认真填写《高层次人才特聘岗位申请表》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见附件2）</w:t>
      </w:r>
      <w:r>
        <w:rPr>
          <w:rFonts w:hint="eastAsia" w:ascii="楷体_GB2312" w:hAnsi="楷体_GB2312" w:eastAsia="楷体_GB2312" w:cs="楷体_GB2312"/>
          <w:sz w:val="28"/>
          <w:szCs w:val="28"/>
        </w:rPr>
        <w:t>（一式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28"/>
          <w:szCs w:val="28"/>
        </w:rPr>
        <w:t>份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和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电子版），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将上述材料封装至一个牛皮纸袋，封面用A4打印“所报项目标题、所属学院、学科名称、申报人”等信息黏贴。请于2016年4月15日早提交到老校区特教楼612办公室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 w:firstLine="520" w:firstLineChars="200"/>
        <w:jc w:val="both"/>
        <w:textAlignment w:val="auto"/>
        <w:rPr>
          <w:rFonts w:hint="eastAsia" w:ascii="楷体_GB2312" w:hAnsi="楷体_GB2312" w:eastAsia="楷体_GB2312" w:cs="楷体_GB2312"/>
          <w:color w:val="FF000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2）5月上旬确定岗位后，请认真填写《特聘高层次人才候选人推荐表》（附件3）（一式三份含电子版）请于2016年5月12日提交至老校区特教楼612办公室。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 w:hAnsiTheme="minorHAnsi" w:cstheme="minorBidi"/>
          <w:kern w:val="0"/>
          <w:sz w:val="32"/>
          <w:szCs w:val="32"/>
          <w:lang w:val="en-US" w:eastAsia="zh-CN" w:bidi="ar"/>
        </w:rPr>
        <w:t xml:space="preserve"> 二、精品资源共享课程申报立项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/>
          <w:sz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6"/>
          <w:szCs w:val="26"/>
          <w:lang w:val="en-US" w:eastAsia="zh-CN" w:bidi="ar"/>
        </w:rPr>
        <w:t xml:space="preserve"> 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1.立项程序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 xml:space="preserve">    凡属于我校校级精品资源共享课程（本科），依照《2013年国家级精品资源共享课评审指标体系（本科）》（附件4）要求填写《2016年度市精品课程申报表》（见附件5），上传相应的网络资料，并上报至教务处，教务处将组织专家进行评审，确定最终名额报市教育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 w:firstLine="52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2.要求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 xml:space="preserve">   《2016年度市精品课程申报表》（见附件5）一式两份及电子稿。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将上述材料封装至一个牛皮纸袋，将《申报表》封皮黏贴至牛皮纸袋正面，背面附档案材料内容。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纸质材料请于2016年5月12日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提交至老校区特教楼612办公室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20" w:firstLineChars="200"/>
        <w:jc w:val="left"/>
        <w:textAlignment w:val="auto"/>
        <w:outlineLvl w:val="0"/>
        <w:rPr>
          <w:rFonts w:hint="eastAsia" w:ascii="黑体" w:eastAsia="黑体" w:hAnsiTheme="minorHAnsi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黑体" w:eastAsia="黑体" w:hAnsiTheme="minorHAnsi" w:cstheme="minorBidi"/>
          <w:kern w:val="0"/>
          <w:sz w:val="32"/>
          <w:szCs w:val="32"/>
          <w:lang w:val="en-US" w:eastAsia="zh-CN" w:bidi="ar"/>
        </w:rPr>
        <w:t>三、教学团队申报立项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立项程序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 xml:space="preserve">    凡属于我校校级教学团队，依照《关于郑州地方高校优秀教学团队遴选与建设意见的通知》（郑教高〔2011〕49号）（附件6）要求，并上报至教务处，教务处将组织专家进行评审，确定最终名额报市教育局。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 w:firstLine="52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2.要求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675" w:firstLineChars="225"/>
        <w:textAlignment w:val="auto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《郑州地方高校教学团队推荐表》（一式二份）（附件7）和相关推荐支撑材料（一式三份）及电子稿。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将上述材料封装至一个牛皮纸袋，将《推荐表》封皮黏贴至牛皮纸袋正面，背面附档案材料内容。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纸质材料请于2016年4月15日提交至特教楼612房间。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left"/>
        <w:textAlignment w:val="auto"/>
        <w:outlineLvl w:val="0"/>
        <w:rPr>
          <w:rFonts w:hint="eastAsia" w:ascii="黑体" w:eastAsia="黑体" w:hAnsiTheme="minorHAnsi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黑体" w:eastAsia="黑体" w:cstheme="minorBidi"/>
          <w:kern w:val="0"/>
          <w:sz w:val="32"/>
          <w:szCs w:val="32"/>
          <w:lang w:val="en-US" w:eastAsia="zh-CN" w:bidi="ar"/>
        </w:rPr>
        <w:t xml:space="preserve">   四、</w:t>
      </w:r>
      <w:r>
        <w:rPr>
          <w:rFonts w:hint="eastAsia" w:ascii="黑体" w:eastAsia="黑体" w:hAnsiTheme="minorHAnsi" w:cstheme="minorBidi"/>
          <w:kern w:val="0"/>
          <w:sz w:val="32"/>
          <w:szCs w:val="32"/>
          <w:lang w:val="en-US" w:eastAsia="zh-CN" w:bidi="ar"/>
        </w:rPr>
        <w:t>示范性实训基地（中心）评选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1.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立项程序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 xml:space="preserve">    各教学单位依照《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instrText xml:space="preserve"> HYPERLINK "http://gjc.zzedu.net.cn/gggs/2016/03/3985.shtml" \o "" \t "http://gjc.zzedu.net.cn/gggs/_blank" </w:instrTex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关于印发郑州地方高校示范性实训基地（中心）建设方案的通知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》（附件8）认真填写《郑州地方高校示范性实训基地（中心）申报表》（一式二份）、《郑州地方高校示范性实训基地（中心）自评报告》和相关支撑材料（各一式三份），上报至教务处，教务处组织专家对申报项目进行材料审核、实地考察，确定最终名额报教育局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 w:firstLine="520" w:firstLineChars="20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right="0" w:rightChars="0"/>
        <w:jc w:val="both"/>
        <w:textAlignment w:val="auto"/>
        <w:rPr>
          <w:rFonts w:hint="eastAsia" w:ascii="黑体" w:eastAsia="黑体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请将上述材料封装至一个牛皮纸袋，将《申报表》封面黏贴至牛皮纸袋正面，背面附上材料内容。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纸质材料请于2016年5月20日提交至特教楼612房间 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                      教务处                                                          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                 2016年4月13日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附件1：《特聘高层次人才年度考核表》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附件2：《高层次人才特聘岗位申请表》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附件3：《特聘高层次人才候选人推荐表》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附件4：《2013年国家级精品资源共享课评审指标体系(本科)》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附件5：《2016年度市精品课程申报表》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附件6：《关于郑州地方高校优秀教学团队遴选与建设意见的通知》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附件7：《郑州地方高校优秀教学团队推荐表》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附件8：《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instrText xml:space="preserve"> HYPERLINK "http://gjc.zzedu.net.cn/gggs/2016/03/3985.shtml" \o "" \t "http://gjc.zzedu.net.cn/gggs/_blank" </w:instrTex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关于印发郑州地方高校示范性实训基地（中心）建设方案的通知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Segoe Print">
    <w:altName w:val="Tw Cen MT Condensed Extra Bold"/>
    <w:panose1 w:val="02000800000000000000"/>
    <w:charset w:val="00"/>
    <w:family w:val="auto"/>
    <w:pitch w:val="default"/>
    <w:sig w:usb0="00000000" w:usb1="00000000" w:usb2="00000000" w:usb3="00000000" w:csb0="2000009F" w:csb1="4701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8547212">
    <w:nsid w:val="56EFAA0C"/>
    <w:multiLevelType w:val="singleLevel"/>
    <w:tmpl w:val="56EFAA0C"/>
    <w:lvl w:ilvl="0" w:tentative="1">
      <w:start w:val="2"/>
      <w:numFmt w:val="decimal"/>
      <w:suff w:val="nothing"/>
      <w:lvlText w:val="（%1）"/>
      <w:lvlJc w:val="left"/>
    </w:lvl>
  </w:abstractNum>
  <w:abstractNum w:abstractNumId="1458546100">
    <w:nsid w:val="56EFA5B4"/>
    <w:multiLevelType w:val="singleLevel"/>
    <w:tmpl w:val="56EFA5B4"/>
    <w:lvl w:ilvl="0" w:tentative="1">
      <w:start w:val="1"/>
      <w:numFmt w:val="chineseCounting"/>
      <w:suff w:val="nothing"/>
      <w:lvlText w:val="%1、"/>
      <w:lvlJc w:val="left"/>
    </w:lvl>
  </w:abstractNum>
  <w:abstractNum w:abstractNumId="1458559160">
    <w:nsid w:val="56EFD8B8"/>
    <w:multiLevelType w:val="singleLevel"/>
    <w:tmpl w:val="56EFD8B8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458546100"/>
  </w:num>
  <w:num w:numId="2">
    <w:abstractNumId w:val="1458547212"/>
  </w:num>
  <w:num w:numId="3">
    <w:abstractNumId w:val="14585591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EF"/>
    <w:rsid w:val="00450DEF"/>
    <w:rsid w:val="024541FD"/>
    <w:rsid w:val="05857561"/>
    <w:rsid w:val="07C438EA"/>
    <w:rsid w:val="0ABA6B0E"/>
    <w:rsid w:val="0D041FB7"/>
    <w:rsid w:val="0DF84607"/>
    <w:rsid w:val="11797F84"/>
    <w:rsid w:val="11CF7EC5"/>
    <w:rsid w:val="12E52C63"/>
    <w:rsid w:val="137818A1"/>
    <w:rsid w:val="1505232D"/>
    <w:rsid w:val="15AE565A"/>
    <w:rsid w:val="15D52981"/>
    <w:rsid w:val="17485E96"/>
    <w:rsid w:val="1B0818E7"/>
    <w:rsid w:val="1BA80056"/>
    <w:rsid w:val="1FC60F30"/>
    <w:rsid w:val="21514276"/>
    <w:rsid w:val="216271DA"/>
    <w:rsid w:val="219F23B2"/>
    <w:rsid w:val="21FB784B"/>
    <w:rsid w:val="25B26ACB"/>
    <w:rsid w:val="26D113C1"/>
    <w:rsid w:val="272E6A8A"/>
    <w:rsid w:val="29017C62"/>
    <w:rsid w:val="2B9207F6"/>
    <w:rsid w:val="2C036500"/>
    <w:rsid w:val="2DFC61FC"/>
    <w:rsid w:val="2FA1432E"/>
    <w:rsid w:val="305E37CD"/>
    <w:rsid w:val="313B4CC8"/>
    <w:rsid w:val="32B543A5"/>
    <w:rsid w:val="34086616"/>
    <w:rsid w:val="346C778A"/>
    <w:rsid w:val="360E4594"/>
    <w:rsid w:val="36FA5729"/>
    <w:rsid w:val="3AA61B96"/>
    <w:rsid w:val="3E615DF0"/>
    <w:rsid w:val="3FC723D0"/>
    <w:rsid w:val="40CC2ED6"/>
    <w:rsid w:val="45E151A5"/>
    <w:rsid w:val="464F45E3"/>
    <w:rsid w:val="47BB766D"/>
    <w:rsid w:val="4822547D"/>
    <w:rsid w:val="48AC60F6"/>
    <w:rsid w:val="4BE13536"/>
    <w:rsid w:val="4D351BE6"/>
    <w:rsid w:val="4D3B152F"/>
    <w:rsid w:val="544A48E5"/>
    <w:rsid w:val="555342A4"/>
    <w:rsid w:val="5584779E"/>
    <w:rsid w:val="55997C52"/>
    <w:rsid w:val="56DC218F"/>
    <w:rsid w:val="571153B0"/>
    <w:rsid w:val="5A952E4B"/>
    <w:rsid w:val="5BC15D46"/>
    <w:rsid w:val="5CA763F7"/>
    <w:rsid w:val="5D4E5808"/>
    <w:rsid w:val="5FFB7EDC"/>
    <w:rsid w:val="62AB4091"/>
    <w:rsid w:val="6346672C"/>
    <w:rsid w:val="63CB2ECD"/>
    <w:rsid w:val="67E65C7F"/>
    <w:rsid w:val="68373761"/>
    <w:rsid w:val="6F884E44"/>
    <w:rsid w:val="747542B4"/>
    <w:rsid w:val="756606E1"/>
    <w:rsid w:val="78B03690"/>
    <w:rsid w:val="79D20C58"/>
    <w:rsid w:val="7F166C91"/>
    <w:rsid w:val="7F4D5783"/>
    <w:rsid w:val="7FEC49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555555"/>
      <w:u w:val="none"/>
    </w:rPr>
  </w:style>
  <w:style w:type="character" w:styleId="5">
    <w:name w:val="Hyperlink"/>
    <w:basedOn w:val="3"/>
    <w:qFormat/>
    <w:uiPriority w:val="0"/>
    <w:rPr>
      <w:color w:val="555555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2016-03-21T07:33:00Z</dcterms:created>
  <dc:creator>Administrator</dc:creator>
  <cp:lastModifiedBy>Administrator</cp:lastModifiedBy>
  <dcterms:modified xsi:type="dcterms:W3CDTF">2016-04-14T08:58:07Z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