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60" w:lineRule="atLeast"/>
        <w:ind w:left="0" w:right="0"/>
        <w:jc w:val="center"/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2020直招士官开始报名了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60" w:lineRule="atLeast"/>
        <w:ind w:left="0" w:right="0"/>
        <w:jc w:val="center"/>
        <w:rPr>
          <w:b/>
          <w:color w:val="191919"/>
          <w:sz w:val="56"/>
          <w:szCs w:val="56"/>
        </w:rPr>
      </w:pPr>
      <w:r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招收政策请收好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2020年从普通高校毕业生中直接招收士官网上报名已 于5月15日开始，热诚欢迎广大高校毕业生踊跃报名，并尽量在6月30日前完成网上报名。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Style w:val="6"/>
          <w:rFonts w:hint="eastAsia" w:ascii="苹方-简" w:hAnsi="苹方-简" w:eastAsia="苹方-简" w:cs="苹方-简"/>
          <w:b/>
          <w:i w:val="0"/>
          <w:caps w:val="0"/>
          <w:color w:val="191919"/>
          <w:spacing w:val="0"/>
          <w:sz w:val="40"/>
          <w:szCs w:val="40"/>
          <w:u w:val="none"/>
          <w:bdr w:val="none" w:color="auto" w:sz="0" w:space="0"/>
        </w:rPr>
        <w:t>招收对象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普通高等学校全日制应届、往届毕业生，优先招收应届毕业生，所学专业符合2020年直招士官专业范围。男性，未婚，年龄24周岁以内（1996年1月1日以后出生）。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招收普通高等学校应届毕业生，所在高校和所学专业已开展职业技能鉴定的，应当取得国家颁发的中级以上职业资格证书。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Style w:val="6"/>
          <w:rFonts w:hint="eastAsia" w:ascii="苹方-简" w:hAnsi="苹方-简" w:eastAsia="苹方-简" w:cs="苹方-简"/>
          <w:b/>
          <w:i w:val="0"/>
          <w:caps w:val="0"/>
          <w:color w:val="191919"/>
          <w:spacing w:val="0"/>
          <w:sz w:val="40"/>
          <w:szCs w:val="40"/>
          <w:u w:val="none"/>
          <w:bdr w:val="none" w:color="auto" w:sz="0" w:space="0"/>
        </w:rPr>
        <w:t>招收专业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2020年，直招士官涉及计算机、道路运输、自动化、通信、机电设备、机械设计制造、医学技术、语言等270余个军民通用专业。</w:t>
      </w:r>
    </w:p>
    <w:p>
      <w:pPr>
        <w:pStyle w:val="3"/>
        <w:spacing w:line="540" w:lineRule="exact"/>
        <w:ind w:firstLine="560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招收具体专业见本文末，也可登录“全国征兵网”查询，或者关注并进入河南省人民政府征兵办公室微信公众号“河南征兵” （微信号：henanzhengbing），点击下方“联系征办”进入“招收士官专业”查询。</w:t>
      </w: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Style w:val="6"/>
          <w:rFonts w:hint="eastAsia" w:ascii="苹方-简" w:hAnsi="苹方-简" w:eastAsia="苹方-简" w:cs="苹方-简"/>
          <w:b/>
          <w:i w:val="0"/>
          <w:caps w:val="0"/>
          <w:color w:val="191919"/>
          <w:spacing w:val="0"/>
          <w:sz w:val="40"/>
          <w:szCs w:val="40"/>
          <w:u w:val="none"/>
          <w:bdr w:val="none" w:color="auto" w:sz="0" w:space="0"/>
        </w:rPr>
        <w:t>时间安排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网上报名时间自5月15日开始，8月15日截止，国防部征兵办公室将依据7月1日全国报名情况，研究制定各省（自治区、直辖市）具体招收专业和计划，希望广大应征青年尽量在6月30日前完成网上报名。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Style w:val="6"/>
          <w:rFonts w:hint="eastAsia" w:ascii="苹方-简" w:hAnsi="苹方-简" w:eastAsia="苹方-简" w:cs="苹方-简"/>
          <w:b/>
          <w:i w:val="0"/>
          <w:caps w:val="0"/>
          <w:color w:val="191919"/>
          <w:spacing w:val="0"/>
          <w:sz w:val="40"/>
          <w:szCs w:val="40"/>
          <w:u w:val="none"/>
          <w:bdr w:val="none" w:color="auto" w:sz="0" w:space="0"/>
        </w:rPr>
        <w:t>基本条件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1.身高160cm以上；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2.右眼裸眼视力4.6以上，左眼裸眼视力4.5以上；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3.体重不超过标准体重(标准体重kg=身高cm-110）的30%，不低于标准体重的15%；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4.有下列情况之一者建议不要报名：①面颈部文身或者瘢痕长径超过3cm的，带有淫秽、暴力和非法组织标志等文身的；②有违法犯罪记录的；③有严重生理缺陷或严重残疾的；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④患有精神类疾病、艾滋病及其病毒携带者、恶性肿瘤、神经系统疾病等严重疾病的。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具体标准条件以《应征公民体格检查标准》和《征兵政治考核工作规定》及有关规定为准。请关注并进入微信公众号“河南征兵”，点击左下方“政策法规”进入“条件标准”查看。</w:t>
      </w: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16B6"/>
    <w:rsid w:val="78F4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2020-07-19T12:18:00Z</dcterms:created>
  <dc:creator>gexi</dc:creator>
  <cp:lastModifiedBy>gexi</cp:lastModifiedBy>
  <dcterms:modified xsi:type="dcterms:W3CDTF">2020-07-19T12:20:00Z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