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120" w:afterLines="0" w:line="240" w:lineRule="auto"/>
        <w:jc w:val="center"/>
        <w:textAlignment w:val="auto"/>
        <w:rPr>
          <w:rFonts w:hint="eastAsia" w:ascii="方正小标宋简体" w:hAnsi="方正小标宋简体" w:eastAsia="方正小标宋简体" w:cs="方正小标宋简体"/>
          <w:b w:val="0"/>
          <w:bCs/>
          <w:sz w:val="44"/>
          <w:szCs w:val="44"/>
          <w:lang w:val="zh-CN" w:eastAsia="zh-CN"/>
        </w:rPr>
      </w:pPr>
      <w:bookmarkStart w:id="0" w:name="bookmark1"/>
      <w:r>
        <w:rPr>
          <w:rFonts w:hint="eastAsia" w:ascii="方正小标宋简体" w:hAnsi="方正小标宋简体" w:eastAsia="方正小标宋简体" w:cs="方正小标宋简体"/>
          <w:b w:val="0"/>
          <w:bCs/>
          <w:sz w:val="44"/>
          <w:szCs w:val="44"/>
          <w:lang w:val="zh-CN" w:eastAsia="zh-CN"/>
        </w:rPr>
        <w:t>关于组织开展第十四届“挑战杯”</w:t>
      </w:r>
    </w:p>
    <w:p>
      <w:pPr>
        <w:pStyle w:val="3"/>
        <w:keepNext/>
        <w:keepLines/>
        <w:pageBreakBefore w:val="0"/>
        <w:widowControl w:val="0"/>
        <w:kinsoku/>
        <w:wordWrap/>
        <w:overflowPunct/>
        <w:topLinePunct w:val="0"/>
        <w:autoSpaceDE/>
        <w:autoSpaceDN/>
        <w:bidi w:val="0"/>
        <w:adjustRightInd/>
        <w:snapToGrid/>
        <w:spacing w:before="0" w:after="120" w:afterLines="0" w:line="240" w:lineRule="auto"/>
        <w:jc w:val="center"/>
        <w:textAlignment w:val="auto"/>
        <w:rPr>
          <w:rFonts w:hint="eastAsia" w:ascii="方正小标宋简体" w:hAnsi="方正小标宋简体" w:eastAsia="方正小标宋简体" w:cs="方正小标宋简体"/>
          <w:b w:val="0"/>
          <w:bCs/>
          <w:sz w:val="44"/>
          <w:szCs w:val="44"/>
          <w:lang w:val="zh-CN" w:eastAsia="zh-CN"/>
        </w:rPr>
      </w:pPr>
      <w:r>
        <w:rPr>
          <w:rFonts w:hint="eastAsia" w:ascii="方正小标宋简体" w:hAnsi="方正小标宋简体" w:eastAsia="方正小标宋简体" w:cs="方正小标宋简体"/>
          <w:b w:val="0"/>
          <w:bCs/>
          <w:sz w:val="44"/>
          <w:szCs w:val="44"/>
          <w:lang w:val="en-US" w:eastAsia="zh-CN"/>
        </w:rPr>
        <w:t>河南省</w:t>
      </w:r>
      <w:r>
        <w:rPr>
          <w:rFonts w:hint="eastAsia" w:ascii="方正小标宋简体" w:hAnsi="方正小标宋简体" w:eastAsia="方正小标宋简体" w:cs="方正小标宋简体"/>
          <w:b w:val="0"/>
          <w:bCs/>
          <w:sz w:val="44"/>
          <w:szCs w:val="44"/>
          <w:lang w:val="zh-CN" w:eastAsia="zh-CN"/>
        </w:rPr>
        <w:t>大学生课外学术科技作品竞赛</w:t>
      </w:r>
    </w:p>
    <w:p>
      <w:pPr>
        <w:pStyle w:val="3"/>
        <w:keepNext/>
        <w:keepLines/>
        <w:pageBreakBefore w:val="0"/>
        <w:widowControl w:val="0"/>
        <w:kinsoku/>
        <w:wordWrap/>
        <w:overflowPunct/>
        <w:topLinePunct w:val="0"/>
        <w:autoSpaceDE/>
        <w:autoSpaceDN/>
        <w:bidi w:val="0"/>
        <w:adjustRightInd/>
        <w:snapToGrid/>
        <w:spacing w:before="0" w:after="260" w:afterLines="0" w:line="240" w:lineRule="auto"/>
        <w:jc w:val="center"/>
        <w:textAlignment w:val="auto"/>
        <w:rPr>
          <w:rFonts w:hint="eastAsia" w:ascii="方正小标宋简体" w:hAnsi="方正小标宋简体" w:eastAsia="方正小标宋简体" w:cs="方正小标宋简体"/>
          <w:b w:val="0"/>
          <w:bCs/>
          <w:sz w:val="44"/>
          <w:szCs w:val="44"/>
          <w:lang w:val="zh-CN" w:eastAsia="zh-CN"/>
        </w:rPr>
      </w:pPr>
      <w:r>
        <w:rPr>
          <w:rFonts w:hint="eastAsia" w:ascii="方正小标宋简体" w:hAnsi="方正小标宋简体" w:eastAsia="方正小标宋简体" w:cs="方正小标宋简体"/>
          <w:b w:val="0"/>
          <w:bCs/>
          <w:sz w:val="44"/>
          <w:szCs w:val="44"/>
          <w:lang w:val="zh-CN" w:eastAsia="zh-CN"/>
        </w:rPr>
        <w:t>的通知</w:t>
      </w:r>
      <w:bookmarkEnd w:id="0"/>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jc w:val="center"/>
        <w:textAlignment w:val="auto"/>
        <w:rPr>
          <w:rFonts w:hint="eastAsia" w:ascii="仿宋_GB2312" w:eastAsia="仿宋_GB2312"/>
          <w:color w:val="auto"/>
          <w:spacing w:val="0"/>
          <w:sz w:val="32"/>
          <w:lang w:val="en-US" w:eastAsia="zh-CN"/>
        </w:rPr>
      </w:pPr>
      <w:r>
        <w:rPr>
          <w:rFonts w:hint="eastAsia" w:ascii="仿宋_GB2312" w:eastAsia="仿宋_GB2312"/>
          <w:color w:val="auto"/>
          <w:spacing w:val="0"/>
          <w:sz w:val="32"/>
          <w:lang w:val="zh-CN" w:eastAsia="zh-CN"/>
        </w:rPr>
        <w:t>（会签稿）</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各普通高校、</w:t>
      </w:r>
      <w:r>
        <w:rPr>
          <w:rFonts w:hint="eastAsia" w:ascii="仿宋_GB2312" w:eastAsia="仿宋_GB2312"/>
          <w:spacing w:val="0"/>
          <w:sz w:val="32"/>
        </w:rPr>
        <w:t>驻豫军校</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eastAsia="仿宋_GB2312"/>
          <w:color w:val="auto"/>
          <w:spacing w:val="0"/>
          <w:sz w:val="32"/>
        </w:rPr>
      </w:pPr>
      <w:r>
        <w:rPr>
          <w:rFonts w:hint="eastAsia" w:ascii="仿宋_GB2312" w:eastAsia="仿宋_GB2312"/>
          <w:color w:val="auto"/>
          <w:spacing w:val="0"/>
          <w:sz w:val="32"/>
          <w:lang w:val="zh-CN" w:eastAsia="zh-CN"/>
        </w:rPr>
        <w:t>为深入学习贯彻习近平新时代中国特色社会主义思想，学习贯彻党的十九大和十九届二中、三中全会精神，进一步引导广大高校学生努力培养科学精神和科学态度，积极学习科学知识和科学方法，踊跃投身创新驱动发展战略，为全面建成小康社会贡献青春力量，</w:t>
      </w:r>
      <w:r>
        <w:rPr>
          <w:rFonts w:hint="eastAsia" w:ascii="仿宋_GB2312" w:hAnsi="Arial" w:eastAsia="仿宋_GB2312"/>
          <w:color w:val="auto"/>
          <w:spacing w:val="0"/>
          <w:sz w:val="32"/>
        </w:rPr>
        <w:t>共青团河南</w:t>
      </w:r>
      <w:r>
        <w:rPr>
          <w:rFonts w:hint="eastAsia" w:ascii="仿宋_GB2312" w:eastAsia="仿宋_GB2312"/>
          <w:color w:val="auto"/>
          <w:spacing w:val="0"/>
          <w:sz w:val="32"/>
        </w:rPr>
        <w:t>省委、</w:t>
      </w:r>
      <w:r>
        <w:rPr>
          <w:rFonts w:hint="eastAsia" w:ascii="仿宋_GB2312" w:hAnsi="Arial" w:eastAsia="仿宋_GB2312"/>
          <w:color w:val="auto"/>
          <w:spacing w:val="0"/>
          <w:sz w:val="32"/>
        </w:rPr>
        <w:t>河南</w:t>
      </w:r>
      <w:r>
        <w:rPr>
          <w:rFonts w:hint="eastAsia" w:ascii="仿宋_GB2312" w:eastAsia="仿宋_GB2312"/>
          <w:color w:val="auto"/>
          <w:spacing w:val="0"/>
          <w:sz w:val="32"/>
        </w:rPr>
        <w:t>省科学技术厅、</w:t>
      </w:r>
      <w:r>
        <w:rPr>
          <w:rFonts w:hint="eastAsia" w:ascii="仿宋_GB2312" w:hAnsi="Arial" w:eastAsia="仿宋_GB2312"/>
          <w:color w:val="auto"/>
          <w:spacing w:val="0"/>
          <w:sz w:val="32"/>
        </w:rPr>
        <w:t>河南</w:t>
      </w:r>
      <w:r>
        <w:rPr>
          <w:rFonts w:hint="eastAsia" w:ascii="仿宋_GB2312" w:eastAsia="仿宋_GB2312"/>
          <w:color w:val="auto"/>
          <w:spacing w:val="0"/>
          <w:sz w:val="32"/>
        </w:rPr>
        <w:t>省教育厅、</w:t>
      </w:r>
      <w:r>
        <w:rPr>
          <w:rFonts w:hint="eastAsia" w:ascii="仿宋_GB2312" w:hAnsi="Arial" w:eastAsia="仿宋_GB2312"/>
          <w:color w:val="auto"/>
          <w:spacing w:val="0"/>
          <w:sz w:val="32"/>
        </w:rPr>
        <w:t>河南</w:t>
      </w:r>
      <w:r>
        <w:rPr>
          <w:rFonts w:hint="eastAsia" w:ascii="仿宋_GB2312" w:eastAsia="仿宋_GB2312"/>
          <w:color w:val="auto"/>
          <w:spacing w:val="0"/>
          <w:sz w:val="32"/>
        </w:rPr>
        <w:t>省科学技术协会、</w:t>
      </w:r>
      <w:r>
        <w:rPr>
          <w:rFonts w:hint="eastAsia" w:ascii="仿宋_GB2312" w:hAnsi="Arial" w:eastAsia="仿宋_GB2312"/>
          <w:color w:val="auto"/>
          <w:spacing w:val="0"/>
          <w:sz w:val="32"/>
        </w:rPr>
        <w:t>河南</w:t>
      </w:r>
      <w:r>
        <w:rPr>
          <w:rFonts w:hint="eastAsia" w:ascii="仿宋_GB2312" w:eastAsia="仿宋_GB2312"/>
          <w:color w:val="auto"/>
          <w:spacing w:val="0"/>
          <w:sz w:val="32"/>
        </w:rPr>
        <w:t>省学生联合会决定共同举办第十</w:t>
      </w:r>
      <w:r>
        <w:rPr>
          <w:rFonts w:hint="eastAsia" w:ascii="仿宋_GB2312" w:eastAsia="仿宋_GB2312"/>
          <w:color w:val="auto"/>
          <w:spacing w:val="0"/>
          <w:sz w:val="32"/>
          <w:lang w:eastAsia="zh-CN"/>
        </w:rPr>
        <w:t>四</w:t>
      </w:r>
      <w:r>
        <w:rPr>
          <w:rFonts w:hint="eastAsia" w:ascii="仿宋_GB2312" w:eastAsia="仿宋_GB2312"/>
          <w:color w:val="auto"/>
          <w:spacing w:val="0"/>
          <w:sz w:val="32"/>
        </w:rPr>
        <w:t>届“挑战杯”河南省大学生课外学术科技作品竞赛活动。现将有关事项通知如下：</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黑体" w:eastAsia="黑体"/>
          <w:spacing w:val="0"/>
          <w:sz w:val="32"/>
        </w:rPr>
      </w:pPr>
      <w:r>
        <w:rPr>
          <w:rFonts w:hint="eastAsia" w:ascii="黑体" w:eastAsia="黑体"/>
          <w:spacing w:val="0"/>
          <w:sz w:val="32"/>
        </w:rPr>
        <w:t>一、活动时间</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黑体" w:eastAsia="黑体"/>
          <w:spacing w:val="0"/>
          <w:sz w:val="32"/>
        </w:rPr>
      </w:pPr>
      <w:r>
        <w:rPr>
          <w:rFonts w:hint="eastAsia" w:ascii="仿宋_GB2312" w:eastAsia="仿宋_GB2312"/>
          <w:color w:val="auto"/>
          <w:spacing w:val="0"/>
          <w:sz w:val="32"/>
        </w:rPr>
        <w:t>201</w:t>
      </w:r>
      <w:r>
        <w:rPr>
          <w:rFonts w:hint="eastAsia" w:ascii="仿宋_GB2312" w:eastAsia="仿宋_GB2312"/>
          <w:color w:val="auto"/>
          <w:spacing w:val="0"/>
          <w:sz w:val="32"/>
          <w:lang w:val="en-US" w:eastAsia="zh-CN"/>
        </w:rPr>
        <w:t>9</w:t>
      </w:r>
      <w:r>
        <w:rPr>
          <w:rFonts w:hint="eastAsia" w:ascii="仿宋_GB2312" w:eastAsia="仿宋_GB2312"/>
          <w:color w:val="auto"/>
          <w:spacing w:val="0"/>
          <w:sz w:val="32"/>
        </w:rPr>
        <w:t>年</w:t>
      </w:r>
      <w:r>
        <w:rPr>
          <w:rFonts w:hint="eastAsia" w:ascii="仿宋_GB2312" w:eastAsia="仿宋_GB2312"/>
          <w:color w:val="auto"/>
          <w:spacing w:val="0"/>
          <w:sz w:val="32"/>
          <w:lang w:val="en-US" w:eastAsia="zh-CN"/>
        </w:rPr>
        <w:t>4</w:t>
      </w:r>
      <w:r>
        <w:rPr>
          <w:rFonts w:hint="eastAsia" w:ascii="仿宋_GB2312" w:eastAsia="仿宋_GB2312"/>
          <w:color w:val="auto"/>
          <w:spacing w:val="0"/>
          <w:sz w:val="32"/>
        </w:rPr>
        <w:t>月—</w:t>
      </w:r>
      <w:r>
        <w:rPr>
          <w:rFonts w:hint="eastAsia" w:ascii="仿宋_GB2312" w:eastAsia="仿宋_GB2312"/>
          <w:color w:val="auto"/>
          <w:spacing w:val="0"/>
          <w:sz w:val="32"/>
          <w:lang w:val="en-US" w:eastAsia="zh-CN"/>
        </w:rPr>
        <w:t>5</w:t>
      </w:r>
      <w:r>
        <w:rPr>
          <w:rFonts w:hint="eastAsia" w:ascii="仿宋_GB2312" w:eastAsia="仿宋_GB2312"/>
          <w:color w:val="auto"/>
          <w:spacing w:val="0"/>
          <w:sz w:val="32"/>
        </w:rPr>
        <w:t>月</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黑体" w:eastAsia="黑体"/>
          <w:spacing w:val="0"/>
          <w:sz w:val="32"/>
        </w:rPr>
      </w:pPr>
      <w:r>
        <w:rPr>
          <w:rFonts w:hint="eastAsia" w:ascii="黑体" w:eastAsia="黑体"/>
          <w:spacing w:val="0"/>
          <w:sz w:val="32"/>
          <w:lang w:val="en-US" w:eastAsia="zh-CN"/>
        </w:rPr>
        <w:t>二</w:t>
      </w:r>
      <w:r>
        <w:rPr>
          <w:rFonts w:hint="eastAsia" w:ascii="黑体" w:eastAsia="黑体"/>
          <w:spacing w:val="0"/>
          <w:sz w:val="32"/>
        </w:rPr>
        <w:t>、组织机构</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仿宋_GB2312" w:eastAsia="仿宋_GB2312"/>
          <w:spacing w:val="0"/>
          <w:sz w:val="32"/>
        </w:rPr>
      </w:pPr>
      <w:r>
        <w:rPr>
          <w:rFonts w:hint="eastAsia" w:ascii="仿宋_GB2312" w:eastAsia="仿宋_GB2312"/>
          <w:spacing w:val="0"/>
          <w:sz w:val="32"/>
        </w:rPr>
        <w:t>竞赛设立</w:t>
      </w:r>
      <w:r>
        <w:rPr>
          <w:rFonts w:hint="eastAsia" w:ascii="仿宋_GB2312" w:eastAsia="仿宋_GB2312"/>
          <w:spacing w:val="0"/>
          <w:sz w:val="32"/>
          <w:lang w:eastAsia="zh-CN"/>
        </w:rPr>
        <w:t>组织委员会</w:t>
      </w:r>
      <w:r>
        <w:rPr>
          <w:rFonts w:hint="eastAsia" w:ascii="仿宋_GB2312" w:eastAsia="仿宋_GB2312"/>
          <w:spacing w:val="0"/>
          <w:sz w:val="32"/>
        </w:rPr>
        <w:t>，由主办单位及发起高校负责同志组成，负责竞赛组织工作。</w:t>
      </w:r>
      <w:r>
        <w:rPr>
          <w:rFonts w:hint="eastAsia" w:ascii="仿宋_GB2312" w:eastAsia="仿宋_GB2312"/>
          <w:spacing w:val="0"/>
          <w:sz w:val="32"/>
          <w:lang w:eastAsia="zh-CN"/>
        </w:rPr>
        <w:t>组委会</w:t>
      </w:r>
      <w:r>
        <w:rPr>
          <w:rFonts w:hint="eastAsia" w:ascii="仿宋_GB2312" w:eastAsia="仿宋_GB2312"/>
          <w:spacing w:val="0"/>
          <w:sz w:val="32"/>
        </w:rPr>
        <w:t>下设办公室，负责竞赛的日常事务，办公室设在团省委。</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仿宋_GB2312" w:eastAsia="仿宋_GB2312"/>
          <w:spacing w:val="0"/>
          <w:sz w:val="32"/>
        </w:rPr>
      </w:pPr>
      <w:r>
        <w:rPr>
          <w:rFonts w:hint="eastAsia" w:ascii="仿宋_GB2312" w:eastAsia="仿宋_GB2312"/>
          <w:spacing w:val="0"/>
          <w:sz w:val="32"/>
        </w:rPr>
        <w:t>竞赛设立评审委员会，由</w:t>
      </w:r>
      <w:r>
        <w:rPr>
          <w:rFonts w:hint="eastAsia" w:ascii="仿宋_GB2312" w:eastAsia="仿宋_GB2312"/>
          <w:spacing w:val="0"/>
          <w:sz w:val="32"/>
          <w:lang w:eastAsia="zh-CN"/>
        </w:rPr>
        <w:t>组委会</w:t>
      </w:r>
      <w:r>
        <w:rPr>
          <w:rFonts w:hint="eastAsia" w:ascii="仿宋_GB2312" w:eastAsia="仿宋_GB2312"/>
          <w:spacing w:val="0"/>
          <w:sz w:val="32"/>
        </w:rPr>
        <w:t>聘请各相关专业具有高级职称的专家组成，</w:t>
      </w:r>
      <w:r>
        <w:rPr>
          <w:rFonts w:hint="eastAsia" w:ascii="仿宋_GB2312" w:eastAsia="仿宋_GB2312"/>
          <w:spacing w:val="0"/>
          <w:sz w:val="32"/>
          <w:lang w:eastAsia="zh-CN"/>
        </w:rPr>
        <w:t>独立</w:t>
      </w:r>
      <w:r>
        <w:rPr>
          <w:rFonts w:hint="eastAsia" w:ascii="仿宋_GB2312" w:eastAsia="仿宋_GB2312"/>
          <w:spacing w:val="0"/>
          <w:sz w:val="32"/>
        </w:rPr>
        <w:t>负责参赛作品的评审工作。</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楷体_GB2312" w:hAnsi="楷体_GB2312" w:eastAsia="楷体_GB2312" w:cs="楷体_GB2312"/>
          <w:spacing w:val="0"/>
          <w:sz w:val="32"/>
          <w:lang w:val="en-US" w:eastAsia="zh-CN"/>
        </w:rPr>
      </w:pPr>
      <w:r>
        <w:rPr>
          <w:rFonts w:hint="eastAsia" w:ascii="楷体_GB2312" w:hAnsi="楷体_GB2312" w:eastAsia="楷体_GB2312" w:cs="楷体_GB2312"/>
          <w:spacing w:val="0"/>
          <w:sz w:val="32"/>
          <w:lang w:val="en-US" w:eastAsia="zh-CN"/>
        </w:rPr>
        <w:t>1</w:t>
      </w:r>
      <w:r>
        <w:rPr>
          <w:rFonts w:hint="eastAsia" w:ascii="楷体_GB2312" w:hAnsi="楷体_GB2312" w:eastAsia="楷体_GB2312" w:cs="楷体_GB2312"/>
          <w:spacing w:val="0"/>
          <w:sz w:val="32"/>
        </w:rPr>
        <w:t>．</w:t>
      </w:r>
      <w:r>
        <w:rPr>
          <w:rFonts w:hint="eastAsia" w:ascii="楷体_GB2312" w:hAnsi="楷体_GB2312" w:eastAsia="楷体_GB2312" w:cs="楷体_GB2312"/>
          <w:spacing w:val="0"/>
          <w:sz w:val="32"/>
          <w:lang w:val="en-US" w:eastAsia="zh-CN"/>
        </w:rPr>
        <w:t>主办单位</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rPr>
        <w:t>共青团河南省委、河南省科学技术厅、河南省教育厅、河南省科学技术协会</w:t>
      </w:r>
      <w:r>
        <w:rPr>
          <w:rFonts w:hint="eastAsia" w:ascii="仿宋_GB2312" w:hAnsi="仿宋_GB2312" w:eastAsia="仿宋_GB2312" w:cs="仿宋_GB2312"/>
          <w:spacing w:val="0"/>
          <w:sz w:val="32"/>
          <w:lang w:eastAsia="zh-CN"/>
        </w:rPr>
        <w:t>、</w:t>
      </w:r>
      <w:r>
        <w:rPr>
          <w:rFonts w:hint="eastAsia" w:ascii="仿宋_GB2312" w:hAnsi="仿宋_GB2312" w:eastAsia="仿宋_GB2312" w:cs="仿宋_GB2312"/>
          <w:spacing w:val="0"/>
          <w:sz w:val="32"/>
        </w:rPr>
        <w:t>河南省学生联合会</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仿宋_GB2312" w:hAnsi="仿宋_GB2312" w:eastAsia="仿宋_GB2312" w:cs="仿宋_GB2312"/>
          <w:spacing w:val="0"/>
          <w:sz w:val="32"/>
          <w:lang w:val="en-US" w:eastAsia="zh-CN"/>
        </w:rPr>
      </w:pPr>
      <w:r>
        <w:rPr>
          <w:rFonts w:hint="eastAsia" w:ascii="楷体_GB2312" w:hAnsi="楷体_GB2312" w:eastAsia="楷体_GB2312" w:cs="楷体_GB2312"/>
          <w:spacing w:val="0"/>
          <w:sz w:val="32"/>
          <w:lang w:val="en-US" w:eastAsia="zh-CN"/>
        </w:rPr>
        <w:t>2．承办单位</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仿宋_GB2312" w:eastAsia="仿宋_GB2312"/>
          <w:color w:val="auto"/>
          <w:spacing w:val="0"/>
          <w:sz w:val="32"/>
          <w:lang w:val="en-US" w:eastAsia="zh-CN"/>
        </w:rPr>
      </w:pPr>
      <w:r>
        <w:rPr>
          <w:rFonts w:hint="eastAsia" w:ascii="仿宋_GB2312" w:eastAsia="仿宋_GB2312"/>
          <w:color w:val="auto"/>
          <w:spacing w:val="0"/>
          <w:sz w:val="32"/>
          <w:lang w:val="en-US" w:eastAsia="zh-CN"/>
        </w:rPr>
        <w:t>河南科技大学</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楷体_GB2312" w:hAnsi="楷体_GB2312" w:eastAsia="楷体_GB2312" w:cs="楷体_GB2312"/>
          <w:spacing w:val="0"/>
          <w:sz w:val="32"/>
          <w:lang w:val="en-US" w:eastAsia="zh-CN"/>
        </w:rPr>
      </w:pPr>
      <w:r>
        <w:rPr>
          <w:rFonts w:hint="eastAsia" w:ascii="楷体_GB2312" w:hAnsi="楷体_GB2312" w:eastAsia="楷体_GB2312" w:cs="楷体_GB2312"/>
          <w:spacing w:val="0"/>
          <w:sz w:val="32"/>
          <w:lang w:val="en-US" w:eastAsia="zh-CN"/>
        </w:rPr>
        <w:t>3</w:t>
      </w:r>
      <w:r>
        <w:rPr>
          <w:rFonts w:hint="eastAsia" w:ascii="楷体_GB2312" w:hAnsi="楷体_GB2312" w:eastAsia="楷体_GB2312" w:cs="楷体_GB2312"/>
          <w:spacing w:val="0"/>
          <w:sz w:val="32"/>
        </w:rPr>
        <w:t>．</w:t>
      </w:r>
      <w:r>
        <w:rPr>
          <w:rFonts w:hint="eastAsia" w:ascii="楷体_GB2312" w:hAnsi="楷体_GB2312" w:eastAsia="楷体_GB2312" w:cs="楷体_GB2312"/>
          <w:spacing w:val="0"/>
          <w:sz w:val="32"/>
          <w:lang w:val="en-US" w:eastAsia="zh-CN"/>
        </w:rPr>
        <w:t>联合发起高校</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仿宋_GB2312" w:hAnsi="仿宋_GB2312" w:eastAsia="仿宋_GB2312" w:cs="仿宋_GB2312"/>
          <w:spacing w:val="0"/>
          <w:sz w:val="32"/>
        </w:rPr>
      </w:pPr>
      <w:r>
        <w:rPr>
          <w:rFonts w:hint="eastAsia" w:ascii="仿宋_GB2312" w:hAnsi="仿宋_GB2312" w:eastAsia="仿宋_GB2312" w:cs="仿宋_GB2312"/>
          <w:spacing w:val="0"/>
          <w:sz w:val="32"/>
        </w:rPr>
        <w:t>郑州大学</w:t>
      </w:r>
      <w:r>
        <w:rPr>
          <w:rFonts w:hint="eastAsia" w:ascii="仿宋_GB2312" w:hAnsi="仿宋_GB2312" w:eastAsia="仿宋_GB2312" w:cs="仿宋_GB2312"/>
          <w:spacing w:val="0"/>
          <w:sz w:val="32"/>
          <w:lang w:eastAsia="zh-CN"/>
        </w:rPr>
        <w:t>、</w:t>
      </w:r>
      <w:r>
        <w:rPr>
          <w:rFonts w:hint="eastAsia" w:ascii="仿宋_GB2312" w:hAnsi="仿宋_GB2312" w:eastAsia="仿宋_GB2312" w:cs="仿宋_GB2312"/>
          <w:spacing w:val="0"/>
          <w:sz w:val="32"/>
        </w:rPr>
        <w:t>河南大学</w:t>
      </w:r>
      <w:r>
        <w:rPr>
          <w:rFonts w:hint="eastAsia" w:ascii="仿宋_GB2312" w:hAnsi="仿宋_GB2312" w:eastAsia="仿宋_GB2312" w:cs="仿宋_GB2312"/>
          <w:spacing w:val="0"/>
          <w:sz w:val="32"/>
          <w:lang w:eastAsia="zh-CN"/>
        </w:rPr>
        <w:t>、</w:t>
      </w:r>
      <w:r>
        <w:rPr>
          <w:rFonts w:hint="eastAsia" w:ascii="仿宋_GB2312" w:hAnsi="仿宋_GB2312" w:eastAsia="仿宋_GB2312" w:cs="仿宋_GB2312"/>
          <w:spacing w:val="0"/>
          <w:sz w:val="32"/>
        </w:rPr>
        <w:t>河南农业大学</w:t>
      </w:r>
      <w:r>
        <w:rPr>
          <w:rFonts w:hint="eastAsia" w:ascii="仿宋_GB2312" w:hAnsi="仿宋_GB2312" w:eastAsia="仿宋_GB2312" w:cs="仿宋_GB2312"/>
          <w:spacing w:val="0"/>
          <w:sz w:val="32"/>
          <w:lang w:eastAsia="zh-CN"/>
        </w:rPr>
        <w:t>、</w:t>
      </w:r>
      <w:r>
        <w:rPr>
          <w:rFonts w:hint="eastAsia" w:ascii="仿宋_GB2312" w:eastAsia="仿宋_GB2312"/>
          <w:color w:val="auto"/>
          <w:spacing w:val="0"/>
          <w:sz w:val="32"/>
          <w:lang w:val="en-US" w:eastAsia="zh-CN"/>
        </w:rPr>
        <w:t>河南科技大学、</w:t>
      </w:r>
      <w:r>
        <w:rPr>
          <w:rFonts w:hint="eastAsia" w:ascii="仿宋_GB2312" w:hAnsi="仿宋_GB2312" w:eastAsia="仿宋_GB2312" w:cs="仿宋_GB2312"/>
          <w:spacing w:val="0"/>
          <w:sz w:val="32"/>
        </w:rPr>
        <w:t>河南工业大学</w:t>
      </w:r>
      <w:r>
        <w:rPr>
          <w:rFonts w:hint="eastAsia" w:ascii="仿宋_GB2312" w:hAnsi="仿宋_GB2312" w:eastAsia="仿宋_GB2312" w:cs="仿宋_GB2312"/>
          <w:spacing w:val="0"/>
          <w:sz w:val="32"/>
          <w:lang w:eastAsia="zh-CN"/>
        </w:rPr>
        <w:t>、</w:t>
      </w:r>
      <w:r>
        <w:rPr>
          <w:rFonts w:hint="eastAsia" w:ascii="仿宋_GB2312" w:hAnsi="仿宋_GB2312" w:eastAsia="仿宋_GB2312" w:cs="仿宋_GB2312"/>
          <w:spacing w:val="0"/>
          <w:sz w:val="32"/>
        </w:rPr>
        <w:t>河南师范大学</w:t>
      </w:r>
      <w:r>
        <w:rPr>
          <w:rFonts w:hint="eastAsia" w:ascii="仿宋_GB2312" w:hAnsi="仿宋_GB2312" w:eastAsia="仿宋_GB2312" w:cs="仿宋_GB2312"/>
          <w:spacing w:val="0"/>
          <w:sz w:val="32"/>
          <w:lang w:eastAsia="zh-CN"/>
        </w:rPr>
        <w:t>、</w:t>
      </w:r>
      <w:r>
        <w:rPr>
          <w:rFonts w:hint="eastAsia" w:ascii="仿宋_GB2312" w:hAnsi="仿宋_GB2312" w:eastAsia="仿宋_GB2312" w:cs="仿宋_GB2312"/>
          <w:spacing w:val="0"/>
          <w:sz w:val="32"/>
        </w:rPr>
        <w:t>安阳师范学院</w:t>
      </w:r>
      <w:r>
        <w:rPr>
          <w:rFonts w:hint="eastAsia" w:ascii="仿宋_GB2312" w:hAnsi="仿宋_GB2312" w:eastAsia="仿宋_GB2312" w:cs="仿宋_GB2312"/>
          <w:spacing w:val="0"/>
          <w:sz w:val="32"/>
          <w:lang w:eastAsia="zh-CN"/>
        </w:rPr>
        <w:t>、</w:t>
      </w:r>
      <w:r>
        <w:rPr>
          <w:rFonts w:hint="eastAsia" w:ascii="仿宋_GB2312" w:hAnsi="仿宋_GB2312" w:eastAsia="仿宋_GB2312" w:cs="仿宋_GB2312"/>
          <w:spacing w:val="0"/>
          <w:sz w:val="32"/>
        </w:rPr>
        <w:t>洛阳理工学院</w:t>
      </w:r>
      <w:r>
        <w:rPr>
          <w:rFonts w:hint="eastAsia" w:ascii="仿宋_GB2312" w:hAnsi="仿宋_GB2312" w:eastAsia="仿宋_GB2312" w:cs="仿宋_GB2312"/>
          <w:spacing w:val="0"/>
          <w:sz w:val="32"/>
          <w:lang w:eastAsia="zh-CN"/>
        </w:rPr>
        <w:t>、</w:t>
      </w:r>
      <w:r>
        <w:rPr>
          <w:rFonts w:hint="eastAsia" w:ascii="仿宋_GB2312" w:hAnsi="仿宋_GB2312" w:eastAsia="仿宋_GB2312" w:cs="仿宋_GB2312"/>
          <w:spacing w:val="0"/>
          <w:sz w:val="32"/>
        </w:rPr>
        <w:t>中原工学院</w:t>
      </w:r>
      <w:r>
        <w:rPr>
          <w:rFonts w:hint="eastAsia" w:ascii="仿宋_GB2312" w:hAnsi="仿宋_GB2312" w:eastAsia="仿宋_GB2312" w:cs="仿宋_GB2312"/>
          <w:spacing w:val="0"/>
          <w:sz w:val="32"/>
          <w:lang w:eastAsia="zh-CN"/>
        </w:rPr>
        <w:t>、</w:t>
      </w:r>
      <w:r>
        <w:rPr>
          <w:rFonts w:hint="eastAsia" w:ascii="仿宋_GB2312" w:hAnsi="仿宋_GB2312" w:eastAsia="仿宋_GB2312" w:cs="仿宋_GB2312"/>
          <w:spacing w:val="0"/>
          <w:sz w:val="32"/>
        </w:rPr>
        <w:t>郑州轻工业</w:t>
      </w:r>
      <w:r>
        <w:rPr>
          <w:rFonts w:hint="eastAsia" w:ascii="仿宋_GB2312" w:hAnsi="仿宋_GB2312" w:eastAsia="仿宋_GB2312" w:cs="仿宋_GB2312"/>
          <w:spacing w:val="0"/>
          <w:sz w:val="32"/>
          <w:lang w:eastAsia="zh-CN"/>
        </w:rPr>
        <w:t>大学、</w:t>
      </w:r>
      <w:r>
        <w:rPr>
          <w:rFonts w:hint="eastAsia" w:ascii="仿宋_GB2312" w:hAnsi="仿宋_GB2312" w:eastAsia="仿宋_GB2312" w:cs="仿宋_GB2312"/>
          <w:spacing w:val="0"/>
          <w:sz w:val="32"/>
        </w:rPr>
        <w:t>华北水利水电大学</w:t>
      </w:r>
      <w:r>
        <w:rPr>
          <w:rFonts w:hint="eastAsia" w:ascii="仿宋_GB2312" w:hAnsi="仿宋_GB2312" w:eastAsia="仿宋_GB2312" w:cs="仿宋_GB2312"/>
          <w:spacing w:val="0"/>
          <w:sz w:val="32"/>
          <w:lang w:eastAsia="zh-CN"/>
        </w:rPr>
        <w:t>、</w:t>
      </w:r>
      <w:r>
        <w:rPr>
          <w:rFonts w:hint="eastAsia" w:ascii="仿宋_GB2312" w:hAnsi="仿宋_GB2312" w:eastAsia="仿宋_GB2312" w:cs="仿宋_GB2312"/>
          <w:spacing w:val="0"/>
          <w:sz w:val="32"/>
        </w:rPr>
        <w:t>郑州航空工业管理学院</w:t>
      </w:r>
      <w:r>
        <w:rPr>
          <w:rFonts w:hint="eastAsia" w:ascii="仿宋_GB2312" w:hAnsi="仿宋_GB2312" w:eastAsia="仿宋_GB2312" w:cs="仿宋_GB2312"/>
          <w:spacing w:val="0"/>
          <w:sz w:val="32"/>
          <w:lang w:eastAsia="zh-CN"/>
        </w:rPr>
        <w:t>、</w:t>
      </w:r>
      <w:r>
        <w:rPr>
          <w:rFonts w:hint="eastAsia" w:ascii="仿宋_GB2312" w:hAnsi="仿宋_GB2312" w:eastAsia="仿宋_GB2312" w:cs="仿宋_GB2312"/>
          <w:spacing w:val="0"/>
          <w:sz w:val="32"/>
        </w:rPr>
        <w:t>河南中医药大学</w:t>
      </w:r>
      <w:r>
        <w:rPr>
          <w:rFonts w:hint="eastAsia" w:ascii="仿宋_GB2312" w:hAnsi="仿宋_GB2312" w:eastAsia="仿宋_GB2312" w:cs="仿宋_GB2312"/>
          <w:spacing w:val="0"/>
          <w:sz w:val="32"/>
          <w:lang w:eastAsia="zh-CN"/>
        </w:rPr>
        <w:t>、</w:t>
      </w:r>
      <w:r>
        <w:rPr>
          <w:rFonts w:hint="eastAsia" w:ascii="仿宋_GB2312" w:hAnsi="仿宋_GB2312" w:eastAsia="仿宋_GB2312" w:cs="仿宋_GB2312"/>
          <w:spacing w:val="0"/>
          <w:sz w:val="32"/>
        </w:rPr>
        <w:t>河南财经政法大学</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黑体" w:eastAsia="黑体"/>
          <w:spacing w:val="0"/>
          <w:sz w:val="32"/>
        </w:rPr>
      </w:pPr>
      <w:r>
        <w:rPr>
          <w:rFonts w:hint="eastAsia" w:ascii="黑体" w:eastAsia="黑体"/>
          <w:spacing w:val="0"/>
          <w:sz w:val="32"/>
          <w:lang w:eastAsia="zh-CN"/>
        </w:rPr>
        <w:t>三</w:t>
      </w:r>
      <w:r>
        <w:rPr>
          <w:rFonts w:hint="eastAsia" w:ascii="黑体" w:eastAsia="黑体"/>
          <w:spacing w:val="0"/>
          <w:sz w:val="32"/>
        </w:rPr>
        <w:t>、推进步骤</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仿宋_GB2312" w:eastAsia="仿宋_GB2312"/>
          <w:spacing w:val="0"/>
          <w:sz w:val="32"/>
        </w:rPr>
      </w:pPr>
      <w:r>
        <w:rPr>
          <w:rFonts w:hint="eastAsia" w:ascii="仿宋_GB2312" w:eastAsia="仿宋_GB2312"/>
          <w:spacing w:val="0"/>
          <w:sz w:val="32"/>
        </w:rPr>
        <w:t>1．高校申报（4月</w:t>
      </w:r>
      <w:r>
        <w:rPr>
          <w:rFonts w:hint="eastAsia" w:ascii="仿宋_GB2312" w:eastAsia="仿宋_GB2312"/>
          <w:spacing w:val="0"/>
          <w:sz w:val="32"/>
          <w:lang w:val="en-US" w:eastAsia="zh-CN"/>
        </w:rPr>
        <w:t>20</w:t>
      </w:r>
      <w:r>
        <w:rPr>
          <w:rFonts w:hint="eastAsia" w:ascii="仿宋_GB2312" w:eastAsia="仿宋_GB2312"/>
          <w:spacing w:val="0"/>
          <w:sz w:val="32"/>
        </w:rPr>
        <w:t>日前）</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仿宋_GB2312" w:eastAsia="仿宋_GB2312"/>
          <w:spacing w:val="0"/>
          <w:sz w:val="32"/>
        </w:rPr>
      </w:pPr>
      <w:r>
        <w:rPr>
          <w:rFonts w:hint="eastAsia" w:ascii="仿宋_GB2312" w:eastAsia="仿宋_GB2312"/>
          <w:spacing w:val="0"/>
          <w:sz w:val="32"/>
        </w:rPr>
        <w:t>2．全省预审和参展准备阶段（</w:t>
      </w:r>
      <w:r>
        <w:rPr>
          <w:rFonts w:hint="eastAsia" w:ascii="仿宋_GB2312" w:eastAsia="仿宋_GB2312"/>
          <w:spacing w:val="0"/>
          <w:sz w:val="32"/>
          <w:lang w:val="en-US" w:eastAsia="zh-CN"/>
        </w:rPr>
        <w:t>5</w:t>
      </w:r>
      <w:r>
        <w:rPr>
          <w:rFonts w:hint="eastAsia" w:ascii="仿宋_GB2312" w:eastAsia="仿宋_GB2312"/>
          <w:spacing w:val="0"/>
          <w:sz w:val="32"/>
        </w:rPr>
        <w:t>月</w:t>
      </w:r>
      <w:r>
        <w:rPr>
          <w:rFonts w:hint="eastAsia" w:ascii="仿宋_GB2312" w:eastAsia="仿宋_GB2312"/>
          <w:spacing w:val="0"/>
          <w:sz w:val="32"/>
          <w:lang w:val="en-US" w:eastAsia="zh-CN"/>
        </w:rPr>
        <w:t>10日前</w:t>
      </w:r>
      <w:r>
        <w:rPr>
          <w:rFonts w:hint="eastAsia" w:ascii="仿宋_GB2312" w:eastAsia="仿宋_GB2312"/>
          <w:spacing w:val="0"/>
          <w:sz w:val="32"/>
        </w:rPr>
        <w:t>）</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仿宋_GB2312" w:eastAsia="仿宋_GB2312"/>
          <w:spacing w:val="0"/>
          <w:sz w:val="32"/>
        </w:rPr>
      </w:pPr>
      <w:r>
        <w:rPr>
          <w:rFonts w:hint="eastAsia" w:ascii="仿宋_GB2312" w:eastAsia="仿宋_GB2312"/>
          <w:spacing w:val="0"/>
          <w:sz w:val="32"/>
        </w:rPr>
        <w:t>3．终审、展览、总结表彰阶段（5月</w:t>
      </w:r>
      <w:r>
        <w:rPr>
          <w:rFonts w:hint="eastAsia" w:ascii="仿宋_GB2312" w:eastAsia="仿宋_GB2312"/>
          <w:spacing w:val="0"/>
          <w:sz w:val="32"/>
          <w:lang w:val="en-US" w:eastAsia="zh-CN"/>
        </w:rPr>
        <w:t>25日前</w:t>
      </w:r>
      <w:r>
        <w:rPr>
          <w:rFonts w:hint="eastAsia" w:ascii="仿宋_GB2312" w:eastAsia="仿宋_GB2312"/>
          <w:spacing w:val="0"/>
          <w:sz w:val="32"/>
        </w:rPr>
        <w:t>）</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仿宋_GB2312" w:eastAsia="仿宋_GB2312"/>
          <w:spacing w:val="0"/>
          <w:sz w:val="32"/>
        </w:rPr>
      </w:pPr>
      <w:r>
        <w:rPr>
          <w:rFonts w:hint="eastAsia" w:ascii="仿宋_GB2312" w:eastAsia="仿宋_GB2312"/>
          <w:spacing w:val="0"/>
          <w:sz w:val="32"/>
        </w:rPr>
        <w:t>具体活动安排见实施方案</w:t>
      </w:r>
      <w:r>
        <w:rPr>
          <w:rFonts w:hint="eastAsia" w:ascii="仿宋_GB2312" w:eastAsia="仿宋_GB2312"/>
          <w:spacing w:val="0"/>
          <w:sz w:val="32"/>
          <w:lang w:eastAsia="zh-CN"/>
        </w:rPr>
        <w:t>见</w:t>
      </w:r>
      <w:r>
        <w:rPr>
          <w:rFonts w:hint="eastAsia" w:ascii="仿宋_GB2312" w:eastAsia="仿宋_GB2312"/>
          <w:spacing w:val="0"/>
          <w:sz w:val="32"/>
        </w:rPr>
        <w:t>附件</w:t>
      </w:r>
      <w:r>
        <w:rPr>
          <w:rFonts w:hint="eastAsia" w:ascii="仿宋_GB2312" w:eastAsia="仿宋_GB2312"/>
          <w:spacing w:val="0"/>
          <w:sz w:val="32"/>
          <w:lang w:val="en-US" w:eastAsia="zh-CN"/>
        </w:rPr>
        <w:t>1</w:t>
      </w:r>
      <w:r>
        <w:rPr>
          <w:rFonts w:hint="eastAsia" w:ascii="仿宋_GB2312" w:eastAsia="仿宋_GB2312"/>
          <w:spacing w:val="0"/>
          <w:sz w:val="32"/>
        </w:rPr>
        <w:t>。</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黑体" w:eastAsia="黑体"/>
          <w:spacing w:val="0"/>
          <w:sz w:val="32"/>
        </w:rPr>
      </w:pPr>
      <w:r>
        <w:rPr>
          <w:rFonts w:hint="eastAsia" w:ascii="黑体" w:eastAsia="黑体"/>
          <w:spacing w:val="0"/>
          <w:sz w:val="32"/>
          <w:lang w:eastAsia="zh-CN"/>
        </w:rPr>
        <w:t>四</w:t>
      </w:r>
      <w:r>
        <w:rPr>
          <w:rFonts w:hint="eastAsia" w:ascii="黑体" w:eastAsia="黑体"/>
          <w:spacing w:val="0"/>
          <w:sz w:val="32"/>
        </w:rPr>
        <w:t>、工作要求</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仿宋_GB2312" w:eastAsia="仿宋_GB2312"/>
          <w:color w:val="auto"/>
          <w:spacing w:val="0"/>
          <w:sz w:val="32"/>
        </w:rPr>
      </w:pPr>
      <w:r>
        <w:rPr>
          <w:rFonts w:hint="eastAsia" w:ascii="楷体_GB2312" w:hAnsi="楷体_GB2312" w:eastAsia="楷体_GB2312" w:cs="楷体_GB2312"/>
          <w:spacing w:val="0"/>
          <w:sz w:val="32"/>
          <w:lang w:val="en-US" w:eastAsia="zh-CN"/>
        </w:rPr>
        <w:t>1．高度重视，加强领导。</w:t>
      </w:r>
      <w:r>
        <w:rPr>
          <w:rFonts w:hint="eastAsia" w:ascii="仿宋_GB2312" w:eastAsia="仿宋_GB2312"/>
          <w:color w:val="auto"/>
          <w:spacing w:val="0"/>
          <w:sz w:val="32"/>
          <w:lang w:eastAsia="zh-CN"/>
        </w:rPr>
        <w:t>举办</w:t>
      </w:r>
      <w:r>
        <w:rPr>
          <w:rFonts w:hint="eastAsia" w:ascii="仿宋_GB2312" w:eastAsia="仿宋_GB2312"/>
          <w:color w:val="auto"/>
          <w:spacing w:val="0"/>
          <w:sz w:val="32"/>
        </w:rPr>
        <w:t>“挑战杯”</w:t>
      </w:r>
      <w:r>
        <w:rPr>
          <w:rFonts w:hint="eastAsia" w:ascii="仿宋_GB2312" w:eastAsia="仿宋_GB2312"/>
          <w:color w:val="auto"/>
          <w:spacing w:val="0"/>
          <w:sz w:val="32"/>
          <w:lang w:eastAsia="zh-CN"/>
        </w:rPr>
        <w:t>大学生</w:t>
      </w:r>
      <w:r>
        <w:rPr>
          <w:rFonts w:hint="eastAsia" w:ascii="仿宋_GB2312" w:eastAsia="仿宋_GB2312"/>
          <w:color w:val="auto"/>
          <w:spacing w:val="0"/>
          <w:sz w:val="32"/>
        </w:rPr>
        <w:t>课外学术科技作品竞赛是</w:t>
      </w:r>
      <w:r>
        <w:rPr>
          <w:rFonts w:hint="eastAsia" w:ascii="仿宋_GB2312" w:eastAsia="仿宋_GB2312"/>
          <w:color w:val="auto"/>
          <w:spacing w:val="0"/>
          <w:sz w:val="32"/>
          <w:lang w:eastAsia="zh-CN"/>
        </w:rPr>
        <w:t>贯彻落实</w:t>
      </w:r>
      <w:r>
        <w:rPr>
          <w:rFonts w:hint="eastAsia" w:ascii="仿宋_GB2312" w:eastAsia="仿宋_GB2312"/>
          <w:color w:val="auto"/>
          <w:spacing w:val="0"/>
          <w:sz w:val="32"/>
          <w:lang w:val="zh-CN" w:eastAsia="zh-CN"/>
        </w:rPr>
        <w:t>党的十九大和十九届二中、三中全会精神的</w:t>
      </w:r>
      <w:r>
        <w:rPr>
          <w:rFonts w:hint="eastAsia" w:ascii="仿宋_GB2312" w:eastAsia="仿宋_GB2312"/>
          <w:color w:val="auto"/>
          <w:spacing w:val="0"/>
          <w:sz w:val="32"/>
          <w:lang w:eastAsia="zh-CN"/>
        </w:rPr>
        <w:t>重要举措</w:t>
      </w:r>
      <w:r>
        <w:rPr>
          <w:rFonts w:hint="eastAsia" w:ascii="仿宋_GB2312" w:eastAsia="仿宋_GB2312"/>
          <w:color w:val="auto"/>
          <w:spacing w:val="0"/>
          <w:sz w:val="32"/>
        </w:rPr>
        <w:t>，</w:t>
      </w:r>
      <w:r>
        <w:rPr>
          <w:rFonts w:hint="eastAsia" w:ascii="仿宋_GB2312" w:eastAsia="仿宋_GB2312"/>
          <w:color w:val="auto"/>
          <w:spacing w:val="0"/>
          <w:sz w:val="32"/>
          <w:lang w:eastAsia="zh-CN"/>
        </w:rPr>
        <w:t>对于</w:t>
      </w:r>
      <w:r>
        <w:rPr>
          <w:rFonts w:hint="eastAsia" w:ascii="仿宋_GB2312" w:eastAsia="仿宋_GB2312"/>
          <w:color w:val="auto"/>
          <w:spacing w:val="0"/>
          <w:sz w:val="32"/>
        </w:rPr>
        <w:t>营造我省高校科技创新氛围，提升我省大学生科技创新能力，具有十分重要的意义。各参赛高校要高度重视此项活动，在学校党政的统一领导下组成由本校主管领导牵头，团委、教务处、科研处、学生处、研究生处等部门和学生会、研究生会共同参加的组织协调机构，做好竞赛组织的有关工作。</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仿宋_GB2312" w:eastAsia="仿宋_GB2312"/>
          <w:spacing w:val="0"/>
          <w:sz w:val="32"/>
        </w:rPr>
      </w:pPr>
      <w:r>
        <w:rPr>
          <w:rFonts w:hint="eastAsia" w:ascii="楷体_GB2312" w:hAnsi="楷体_GB2312" w:eastAsia="楷体_GB2312" w:cs="楷体_GB2312"/>
          <w:spacing w:val="0"/>
          <w:sz w:val="32"/>
          <w:lang w:val="en-US" w:eastAsia="zh-CN"/>
        </w:rPr>
        <w:t>2．深入发动，精心组织。</w:t>
      </w:r>
      <w:r>
        <w:rPr>
          <w:rFonts w:hint="eastAsia" w:ascii="仿宋_GB2312" w:eastAsia="仿宋_GB2312"/>
          <w:spacing w:val="0"/>
          <w:sz w:val="32"/>
        </w:rPr>
        <w:t>各地、各高校要突出竞赛的学术性和普遍性，进一步巩固和完善校、省、全国的三级赛制。特别是校级竞赛阶段，要通过运用媒体手段、设立专门机构等方式，发布竞赛消息，接受学生咨询，进行广泛动员，使更多的学生参与到竞赛中来。要坚决杜绝以学校科研项目冒充学生作品的现象，如有发现将严肃处理。要坚持选拔与培养并重的原则，对于未进入省级竞赛的作品要进行研究思路和研究方法的指导，帮助参赛学生提高科研能力。有条件的高校可对重点项目在经费和指导力量上给予支持。</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仿宋_GB2312" w:eastAsia="仿宋_GB2312"/>
          <w:color w:val="auto"/>
          <w:spacing w:val="0"/>
          <w:sz w:val="32"/>
        </w:rPr>
      </w:pPr>
      <w:r>
        <w:rPr>
          <w:rFonts w:hint="eastAsia" w:ascii="楷体_GB2312" w:hAnsi="楷体_GB2312" w:eastAsia="楷体_GB2312" w:cs="楷体_GB2312"/>
          <w:spacing w:val="0"/>
          <w:sz w:val="32"/>
          <w:lang w:val="en-US" w:eastAsia="zh-CN"/>
        </w:rPr>
        <w:t>3．建章立制，把握导向。</w:t>
      </w:r>
      <w:r>
        <w:rPr>
          <w:rFonts w:hint="eastAsia" w:ascii="仿宋_GB2312" w:eastAsia="仿宋_GB2312"/>
          <w:color w:val="auto"/>
          <w:spacing w:val="0"/>
          <w:sz w:val="32"/>
        </w:rPr>
        <w:t>各高校要坚持育人宗旨，把人才培养作为“挑战杯”竞赛的首要目标，不断完善创新人才培养模式和创新型人才激励机制</w:t>
      </w:r>
      <w:r>
        <w:rPr>
          <w:rFonts w:hint="eastAsia" w:ascii="仿宋_GB2312" w:eastAsia="仿宋_GB2312"/>
          <w:color w:val="auto"/>
          <w:spacing w:val="0"/>
          <w:sz w:val="32"/>
          <w:lang w:eastAsia="zh-CN"/>
        </w:rPr>
        <w:t>。</w:t>
      </w:r>
      <w:r>
        <w:rPr>
          <w:rFonts w:hint="eastAsia" w:ascii="仿宋_GB2312" w:eastAsia="仿宋_GB2312"/>
          <w:color w:val="auto"/>
          <w:spacing w:val="0"/>
          <w:sz w:val="32"/>
        </w:rPr>
        <w:t>要建立团委直属的专门组织或社团，负责学生科技活动的组织工作，制定长远规划，保证学术科技活动经常性开展。有条件的高校可设立学生学术科技活动基金，制定学生参与学术科技活动奖励办法，更好地扶持、激励学生参与课外学术科技活动；设立指导教师人才库，将指导教师的工作计入教学工作量</w:t>
      </w:r>
      <w:r>
        <w:rPr>
          <w:rFonts w:hint="eastAsia" w:ascii="仿宋_GB2312" w:eastAsia="仿宋_GB2312"/>
          <w:color w:val="auto"/>
          <w:spacing w:val="0"/>
          <w:sz w:val="32"/>
          <w:lang w:eastAsia="zh-CN"/>
        </w:rPr>
        <w:t>。</w:t>
      </w:r>
      <w:r>
        <w:rPr>
          <w:rFonts w:hint="eastAsia" w:ascii="仿宋_GB2312" w:eastAsia="仿宋_GB2312"/>
          <w:color w:val="auto"/>
          <w:spacing w:val="0"/>
          <w:sz w:val="32"/>
        </w:rPr>
        <w:t>尝试建立参赛作品转化服务机制，争取本地各类科技园区、工业园区、高新技术园区等支持，为参赛和获奖项目的转化提供服务，推动学生科技成果与市场、资本等方面实现更加紧密有效结合。</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仿宋_GB2312" w:eastAsia="仿宋_GB2312"/>
          <w:color w:val="auto"/>
          <w:spacing w:val="0"/>
          <w:sz w:val="32"/>
        </w:rPr>
      </w:pPr>
      <w:r>
        <w:rPr>
          <w:rFonts w:hint="eastAsia" w:ascii="楷体_GB2312" w:hAnsi="楷体_GB2312" w:eastAsia="楷体_GB2312" w:cs="楷体_GB2312"/>
          <w:spacing w:val="0"/>
          <w:sz w:val="32"/>
          <w:lang w:val="en-US" w:eastAsia="zh-CN"/>
        </w:rPr>
        <w:t>4．深入宣传，扩大影响。</w:t>
      </w:r>
      <w:r>
        <w:rPr>
          <w:rFonts w:hint="eastAsia" w:ascii="仿宋_GB2312" w:eastAsia="仿宋_GB2312"/>
          <w:color w:val="auto"/>
          <w:spacing w:val="0"/>
          <w:sz w:val="32"/>
        </w:rPr>
        <w:t>各高校要积极协调各类新闻媒体，全方位、多层次、有重点地做好竞赛宣传工作</w:t>
      </w:r>
      <w:r>
        <w:rPr>
          <w:rFonts w:hint="eastAsia" w:ascii="仿宋_GB2312" w:eastAsia="仿宋_GB2312"/>
          <w:color w:val="auto"/>
          <w:spacing w:val="0"/>
          <w:sz w:val="32"/>
          <w:lang w:eastAsia="zh-CN"/>
        </w:rPr>
        <w:t>，</w:t>
      </w:r>
      <w:r>
        <w:rPr>
          <w:rFonts w:hint="eastAsia" w:ascii="仿宋_GB2312" w:eastAsia="仿宋_GB2312"/>
          <w:color w:val="auto"/>
          <w:spacing w:val="0"/>
          <w:sz w:val="32"/>
        </w:rPr>
        <w:t>使“挑战杯”的品牌在高校中和社会上产生更为广泛、深远的影响。要注重做好竞赛的前期宣传工作，为竞赛组织发动和有序开展打好基础。要广泛宣传竞赛中产生的典型事迹和典型人物，引导和鼓励更多学生、教师积极投身学术科技创新实践，推动我省大学生科技活动深入发展。</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仿宋_GB2312" w:hAnsi="仿宋_GB2312" w:eastAsia="仿宋_GB2312"/>
          <w:color w:val="auto"/>
          <w:spacing w:val="0"/>
          <w:sz w:val="32"/>
        </w:rPr>
      </w:pPr>
      <w:r>
        <w:rPr>
          <w:rFonts w:hint="eastAsia" w:ascii="仿宋_GB2312" w:hAnsi="仿宋_GB2312" w:eastAsia="仿宋_GB2312"/>
          <w:color w:val="auto"/>
          <w:spacing w:val="0"/>
          <w:sz w:val="32"/>
        </w:rPr>
        <w:t>联系地址：共青团河南省委学校部（郑州市金水路1</w:t>
      </w:r>
      <w:r>
        <w:rPr>
          <w:rFonts w:hint="eastAsia" w:ascii="仿宋_GB2312" w:hAnsi="仿宋_GB2312" w:eastAsia="仿宋_GB2312"/>
          <w:color w:val="auto"/>
          <w:spacing w:val="0"/>
          <w:sz w:val="32"/>
          <w:lang w:val="en-US" w:eastAsia="zh-CN"/>
        </w:rPr>
        <w:t>6</w:t>
      </w:r>
      <w:r>
        <w:rPr>
          <w:rFonts w:hint="eastAsia" w:ascii="仿宋_GB2312" w:hAnsi="仿宋_GB2312" w:eastAsia="仿宋_GB2312"/>
          <w:color w:val="auto"/>
          <w:spacing w:val="0"/>
          <w:sz w:val="32"/>
        </w:rPr>
        <w:t>号）</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仿宋_GB2312" w:eastAsia="仿宋_GB2312"/>
          <w:color w:val="auto"/>
          <w:spacing w:val="0"/>
          <w:sz w:val="32"/>
        </w:rPr>
      </w:pPr>
      <w:r>
        <w:rPr>
          <w:rFonts w:hint="eastAsia" w:ascii="仿宋_GB2312" w:eastAsia="仿宋_GB2312"/>
          <w:color w:val="auto"/>
          <w:spacing w:val="0"/>
          <w:sz w:val="32"/>
        </w:rPr>
        <w:t>邮政编码：</w:t>
      </w:r>
      <w:r>
        <w:rPr>
          <w:rFonts w:hint="eastAsia" w:ascii="仿宋_GB2312" w:eastAsia="仿宋_GB2312"/>
          <w:color w:val="auto"/>
          <w:spacing w:val="0"/>
          <w:sz w:val="32"/>
          <w:lang w:val="en-US" w:eastAsia="zh-CN"/>
        </w:rPr>
        <w:t>450003</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仿宋_GB2312" w:eastAsia="仿宋_GB2312"/>
          <w:color w:val="auto"/>
          <w:spacing w:val="0"/>
          <w:sz w:val="32"/>
        </w:rPr>
      </w:pPr>
      <w:r>
        <w:rPr>
          <w:rFonts w:hint="eastAsia" w:ascii="仿宋_GB2312" w:eastAsia="仿宋_GB2312"/>
          <w:color w:val="auto"/>
          <w:spacing w:val="0"/>
          <w:sz w:val="32"/>
        </w:rPr>
        <w:t>联系电话：（0371）65904813、65866849</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仿宋_GB2312" w:eastAsia="仿宋_GB2312"/>
          <w:color w:val="FF0000"/>
          <w:spacing w:val="0"/>
          <w:sz w:val="32"/>
          <w:lang w:val="en-US" w:eastAsia="zh-CN"/>
        </w:rPr>
      </w:pPr>
      <w:r>
        <w:rPr>
          <w:rFonts w:hint="eastAsia" w:ascii="仿宋_GB2312" w:eastAsia="仿宋_GB2312"/>
          <w:color w:val="auto"/>
          <w:spacing w:val="0"/>
          <w:sz w:val="32"/>
          <w:lang w:eastAsia="zh-CN"/>
        </w:rPr>
        <w:t>邮箱地址：</w:t>
      </w:r>
      <w:r>
        <w:rPr>
          <w:rFonts w:hint="eastAsia" w:ascii="仿宋_GB2312" w:eastAsia="仿宋_GB2312"/>
          <w:color w:val="auto"/>
          <w:spacing w:val="0"/>
          <w:sz w:val="32"/>
          <w:lang w:val="en-US" w:eastAsia="zh-CN"/>
        </w:rPr>
        <w:t>hntswxxb@126.com</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仿宋_GB2312" w:eastAsia="仿宋_GB2312"/>
          <w:spacing w:val="0"/>
          <w:sz w:val="32"/>
        </w:rPr>
      </w:pPr>
      <w:r>
        <w:rPr>
          <w:rFonts w:hint="eastAsia" w:ascii="仿宋_GB2312" w:eastAsia="仿宋_GB2312"/>
          <w:color w:val="auto"/>
          <w:spacing w:val="0"/>
          <w:sz w:val="32"/>
        </w:rPr>
        <w:t>联 系 人：</w:t>
      </w:r>
      <w:r>
        <w:rPr>
          <w:rFonts w:hint="eastAsia" w:ascii="仿宋_GB2312" w:eastAsia="仿宋_GB2312"/>
          <w:color w:val="auto"/>
          <w:spacing w:val="0"/>
          <w:sz w:val="32"/>
          <w:lang w:eastAsia="zh-CN"/>
        </w:rPr>
        <w:t>潘</w:t>
      </w:r>
      <w:r>
        <w:rPr>
          <w:rFonts w:hint="eastAsia" w:ascii="仿宋_GB2312" w:eastAsia="仿宋_GB2312"/>
          <w:color w:val="auto"/>
          <w:spacing w:val="0"/>
          <w:sz w:val="32"/>
          <w:lang w:val="en-US" w:eastAsia="zh-CN"/>
        </w:rPr>
        <w:t xml:space="preserve">  </w:t>
      </w:r>
      <w:r>
        <w:rPr>
          <w:rFonts w:hint="eastAsia" w:ascii="仿宋_GB2312" w:eastAsia="仿宋_GB2312"/>
          <w:color w:val="auto"/>
          <w:spacing w:val="0"/>
          <w:sz w:val="32"/>
          <w:lang w:eastAsia="zh-CN"/>
        </w:rPr>
        <w:t>幸</w:t>
      </w:r>
      <w:r>
        <w:rPr>
          <w:rFonts w:hint="eastAsia" w:ascii="仿宋_GB2312" w:eastAsia="仿宋_GB2312"/>
          <w:color w:val="auto"/>
          <w:spacing w:val="0"/>
          <w:sz w:val="32"/>
          <w:lang w:val="en-US" w:eastAsia="zh-CN"/>
        </w:rPr>
        <w:t xml:space="preserve">  </w:t>
      </w:r>
      <w:r>
        <w:rPr>
          <w:rFonts w:hint="eastAsia" w:ascii="仿宋_GB2312" w:eastAsia="仿宋_GB2312"/>
          <w:color w:val="auto"/>
          <w:spacing w:val="0"/>
          <w:sz w:val="32"/>
          <w:lang w:eastAsia="zh-CN"/>
        </w:rPr>
        <w:t>林钰程</w:t>
      </w:r>
      <w:r>
        <w:rPr>
          <w:rFonts w:hint="eastAsia" w:ascii="仿宋_GB2312" w:eastAsia="仿宋_GB2312"/>
          <w:color w:val="auto"/>
          <w:spacing w:val="0"/>
          <w:sz w:val="32"/>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outlineLvl w:val="9"/>
        <w:rPr>
          <w:rFonts w:hint="eastAsia" w:ascii="仿宋_GB2312" w:eastAsia="仿宋_GB2312"/>
          <w:spacing w:val="0"/>
          <w:sz w:val="32"/>
        </w:rPr>
      </w:pPr>
      <w:r>
        <w:rPr>
          <w:rFonts w:hint="eastAsia" w:ascii="仿宋_GB2312" w:eastAsia="仿宋_GB2312"/>
          <w:spacing w:val="0"/>
          <w:sz w:val="32"/>
        </w:rPr>
        <w:t>附件：</w:t>
      </w:r>
      <w:r>
        <w:rPr>
          <w:rFonts w:hint="eastAsia" w:ascii="仿宋_GB2312" w:eastAsia="仿宋_GB2312"/>
          <w:spacing w:val="0"/>
          <w:sz w:val="32"/>
          <w:lang w:val="en-US" w:eastAsia="zh-CN"/>
        </w:rPr>
        <w:t xml:space="preserve">1. </w:t>
      </w:r>
      <w:r>
        <w:rPr>
          <w:rFonts w:hint="eastAsia" w:ascii="仿宋_GB2312" w:eastAsia="仿宋_GB2312"/>
          <w:spacing w:val="0"/>
          <w:sz w:val="32"/>
        </w:rPr>
        <w:t>第</w:t>
      </w:r>
      <w:r>
        <w:rPr>
          <w:rFonts w:hint="eastAsia" w:ascii="仿宋_GB2312" w:eastAsia="仿宋_GB2312"/>
          <w:spacing w:val="0"/>
          <w:sz w:val="32"/>
          <w:lang w:eastAsia="zh-CN"/>
        </w:rPr>
        <w:t>十四</w:t>
      </w:r>
      <w:r>
        <w:rPr>
          <w:rFonts w:hint="eastAsia" w:ascii="仿宋_GB2312" w:eastAsia="仿宋_GB2312"/>
          <w:spacing w:val="0"/>
          <w:sz w:val="32"/>
        </w:rPr>
        <w:t>届“挑</w:t>
      </w:r>
      <w:bookmarkStart w:id="4" w:name="_GoBack"/>
      <w:bookmarkEnd w:id="4"/>
      <w:r>
        <w:rPr>
          <w:rFonts w:hint="eastAsia" w:ascii="仿宋_GB2312" w:eastAsia="仿宋_GB2312"/>
          <w:spacing w:val="0"/>
          <w:sz w:val="32"/>
        </w:rPr>
        <w:t>战杯”河南省大学生课外学术科技作品竞赛实施方案</w:t>
      </w:r>
    </w:p>
    <w:p>
      <w:pPr>
        <w:keepNext w:val="0"/>
        <w:keepLines w:val="0"/>
        <w:pageBreakBefore w:val="0"/>
        <w:widowControl w:val="0"/>
        <w:numPr>
          <w:ilvl w:val="0"/>
          <w:numId w:val="1"/>
        </w:numPr>
        <w:kinsoku/>
        <w:overflowPunct/>
        <w:topLinePunct w:val="0"/>
        <w:autoSpaceDE/>
        <w:autoSpaceDN/>
        <w:bidi w:val="0"/>
        <w:adjustRightInd/>
        <w:snapToGrid/>
        <w:spacing w:line="600" w:lineRule="exact"/>
        <w:ind w:left="1600" w:leftChars="0" w:right="0" w:rightChars="0" w:firstLine="0" w:firstLineChars="0"/>
        <w:outlineLvl w:val="9"/>
        <w:rPr>
          <w:rFonts w:hint="default" w:ascii="仿宋_GB2312" w:eastAsia="仿宋_GB2312"/>
          <w:spacing w:val="0"/>
          <w:sz w:val="32"/>
          <w:lang w:val="en-US" w:eastAsia="zh-CN"/>
        </w:rPr>
      </w:pPr>
      <w:r>
        <w:rPr>
          <w:rFonts w:hint="default" w:ascii="仿宋_GB2312" w:eastAsia="仿宋_GB2312"/>
          <w:spacing w:val="0"/>
          <w:sz w:val="32"/>
          <w:lang w:val="en-US" w:eastAsia="zh-CN"/>
        </w:rPr>
        <w:t>哲学社会科学类参赛作品参考题</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1120" w:firstLineChars="350"/>
        <w:textAlignment w:val="baseline"/>
        <w:outlineLvl w:val="9"/>
        <w:rPr>
          <w:rFonts w:hint="eastAsia" w:ascii="仿宋_GB2312" w:eastAsia="仿宋_GB2312"/>
          <w:spacing w:val="0"/>
          <w:sz w:val="32"/>
        </w:rPr>
      </w:pPr>
    </w:p>
    <w:p>
      <w:pPr>
        <w:rPr>
          <w:rFonts w:hint="eastAsia" w:ascii="仿宋_GB2312" w:eastAsia="仿宋_GB2312"/>
          <w:spacing w:val="0"/>
          <w:sz w:val="32"/>
        </w:rPr>
      </w:pPr>
      <w:r>
        <w:rPr>
          <w:rFonts w:hint="eastAsia" w:ascii="仿宋_GB2312" w:eastAsia="仿宋_GB2312"/>
          <w:spacing w:val="0"/>
          <w:sz w:val="32"/>
        </w:rPr>
        <w:br w:type="page"/>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1120" w:firstLineChars="350"/>
        <w:textAlignment w:val="baseline"/>
        <w:outlineLvl w:val="9"/>
        <w:rPr>
          <w:rFonts w:hint="eastAsia" w:ascii="仿宋_GB2312" w:eastAsia="仿宋_GB2312"/>
          <w:spacing w:val="0"/>
          <w:sz w:val="32"/>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1120" w:firstLineChars="350"/>
        <w:textAlignment w:val="baseline"/>
        <w:outlineLvl w:val="9"/>
        <w:rPr>
          <w:rFonts w:hint="eastAsia" w:ascii="仿宋_GB2312" w:eastAsia="仿宋_GB2312"/>
          <w:spacing w:val="0"/>
          <w:sz w:val="32"/>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1120" w:firstLineChars="350"/>
        <w:textAlignment w:val="baseline"/>
        <w:outlineLvl w:val="9"/>
        <w:rPr>
          <w:rFonts w:hint="eastAsia" w:ascii="仿宋_GB2312" w:eastAsia="仿宋_GB2312"/>
          <w:spacing w:val="0"/>
          <w:sz w:val="32"/>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baseline"/>
        <w:outlineLvl w:val="9"/>
        <w:rPr>
          <w:rFonts w:hint="eastAsia" w:ascii="仿宋_GB2312" w:eastAsia="仿宋_GB2312"/>
          <w:spacing w:val="0"/>
          <w:sz w:val="32"/>
        </w:rPr>
      </w:pPr>
      <w:r>
        <w:rPr>
          <w:rFonts w:hint="eastAsia" w:ascii="仿宋_GB2312" w:eastAsia="仿宋_GB2312"/>
          <w:spacing w:val="0"/>
          <w:sz w:val="32"/>
          <w:lang w:val="en-US" w:eastAsia="zh-CN"/>
        </w:rPr>
        <w:t xml:space="preserve">      </w:t>
      </w:r>
      <w:r>
        <w:rPr>
          <w:rFonts w:hint="eastAsia" w:ascii="仿宋_GB2312" w:eastAsia="仿宋_GB2312"/>
          <w:spacing w:val="57"/>
          <w:sz w:val="32"/>
        </w:rPr>
        <w:t>共青团河南省委</w:t>
      </w:r>
      <w:r>
        <w:rPr>
          <w:rFonts w:hint="eastAsia" w:ascii="仿宋_GB2312" w:eastAsia="仿宋_GB2312"/>
          <w:spacing w:val="0"/>
          <w:sz w:val="32"/>
        </w:rPr>
        <w:t xml:space="preserve">       </w:t>
      </w:r>
      <w:r>
        <w:rPr>
          <w:rFonts w:hint="eastAsia" w:ascii="仿宋_GB2312" w:eastAsia="仿宋_GB2312"/>
          <w:spacing w:val="20"/>
          <w:sz w:val="32"/>
        </w:rPr>
        <w:t>河南省科学技术厅</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1120" w:firstLineChars="350"/>
        <w:textAlignment w:val="baseline"/>
        <w:outlineLvl w:val="9"/>
        <w:rPr>
          <w:rFonts w:hint="eastAsia" w:ascii="仿宋_GB2312" w:eastAsia="仿宋_GB2312"/>
          <w:spacing w:val="0"/>
          <w:sz w:val="32"/>
          <w:lang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960" w:firstLineChars="300"/>
        <w:jc w:val="both"/>
        <w:textAlignment w:val="baseline"/>
        <w:outlineLvl w:val="9"/>
        <w:rPr>
          <w:rFonts w:hint="eastAsia" w:ascii="仿宋_GB2312" w:eastAsia="仿宋_GB2312"/>
          <w:spacing w:val="0"/>
          <w:sz w:val="32"/>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960" w:firstLineChars="300"/>
        <w:jc w:val="both"/>
        <w:textAlignment w:val="baseline"/>
        <w:outlineLvl w:val="9"/>
        <w:rPr>
          <w:rFonts w:hint="eastAsia" w:ascii="仿宋_GB2312" w:eastAsia="仿宋_GB2312"/>
          <w:spacing w:val="0"/>
          <w:sz w:val="32"/>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960" w:firstLineChars="300"/>
        <w:jc w:val="both"/>
        <w:textAlignment w:val="baseline"/>
        <w:outlineLvl w:val="9"/>
        <w:rPr>
          <w:rFonts w:hint="eastAsia" w:ascii="仿宋_GB2312" w:eastAsia="仿宋_GB2312"/>
          <w:spacing w:val="0"/>
          <w:sz w:val="32"/>
        </w:rPr>
      </w:pPr>
    </w:p>
    <w:p>
      <w:pPr>
        <w:keepNext w:val="0"/>
        <w:keepLines w:val="0"/>
        <w:pageBreakBefore w:val="0"/>
        <w:widowControl w:val="0"/>
        <w:kinsoku/>
        <w:overflowPunct/>
        <w:topLinePunct w:val="0"/>
        <w:autoSpaceDE/>
        <w:autoSpaceDN/>
        <w:bidi w:val="0"/>
        <w:adjustRightInd/>
        <w:snapToGrid/>
        <w:spacing w:line="600" w:lineRule="exact"/>
        <w:ind w:right="0" w:rightChars="0" w:firstLine="936" w:firstLineChars="200"/>
        <w:jc w:val="both"/>
        <w:textAlignment w:val="baseline"/>
        <w:outlineLvl w:val="9"/>
        <w:rPr>
          <w:rFonts w:hint="eastAsia" w:ascii="仿宋_GB2312" w:eastAsia="仿宋_GB2312"/>
          <w:spacing w:val="0"/>
          <w:sz w:val="32"/>
        </w:rPr>
      </w:pPr>
      <w:r>
        <w:rPr>
          <w:rFonts w:hint="eastAsia" w:ascii="仿宋_GB2312" w:eastAsia="仿宋_GB2312"/>
          <w:spacing w:val="74"/>
          <w:sz w:val="32"/>
        </w:rPr>
        <w:t>河南省教育厅</w:t>
      </w:r>
      <w:r>
        <w:rPr>
          <w:rFonts w:hint="eastAsia" w:ascii="仿宋_GB2312" w:eastAsia="仿宋_GB2312"/>
          <w:spacing w:val="0"/>
          <w:sz w:val="32"/>
        </w:rPr>
        <w:t xml:space="preserve">        河南省科学技术协会</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jc w:val="right"/>
        <w:textAlignment w:val="baseline"/>
        <w:outlineLvl w:val="9"/>
        <w:rPr>
          <w:rFonts w:hint="eastAsia" w:ascii="仿宋_GB2312" w:eastAsia="仿宋_GB2312"/>
          <w:spacing w:val="0"/>
          <w:sz w:val="32"/>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jc w:val="right"/>
        <w:textAlignment w:val="baseline"/>
        <w:outlineLvl w:val="9"/>
        <w:rPr>
          <w:rFonts w:hint="eastAsia" w:ascii="仿宋_GB2312" w:eastAsia="仿宋_GB2312"/>
          <w:spacing w:val="0"/>
          <w:sz w:val="32"/>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jc w:val="right"/>
        <w:textAlignment w:val="baseline"/>
        <w:outlineLvl w:val="9"/>
        <w:rPr>
          <w:rFonts w:hint="eastAsia" w:ascii="仿宋_GB2312" w:eastAsia="仿宋_GB2312"/>
          <w:spacing w:val="0"/>
          <w:sz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jc w:val="center"/>
        <w:textAlignment w:val="baseline"/>
        <w:outlineLvl w:val="9"/>
        <w:rPr>
          <w:rFonts w:hint="eastAsia" w:ascii="仿宋_GB2312" w:eastAsia="仿宋_GB2312"/>
          <w:spacing w:val="0"/>
          <w:sz w:val="32"/>
          <w:lang w:val="en-US" w:eastAsia="zh-CN"/>
        </w:rPr>
      </w:pPr>
      <w:r>
        <w:rPr>
          <w:rFonts w:hint="eastAsia" w:ascii="仿宋_GB2312" w:eastAsia="仿宋_GB2312"/>
          <w:spacing w:val="0"/>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黑体" w:hAnsi="黑体" w:eastAsia="黑体" w:cs="黑体"/>
          <w:sz w:val="32"/>
          <w:szCs w:val="32"/>
          <w:lang w:val="en-US"/>
        </w:rPr>
      </w:pPr>
      <w:r>
        <w:rPr>
          <w:rFonts w:hint="eastAsia" w:ascii="仿宋_GB2312" w:eastAsia="仿宋_GB2312"/>
          <w:spacing w:val="0"/>
          <w:sz w:val="32"/>
          <w:lang w:val="en-US" w:eastAsia="zh-CN"/>
        </w:rPr>
        <w:t xml:space="preserve">            </w:t>
      </w:r>
      <w:r>
        <w:rPr>
          <w:rFonts w:hint="eastAsia" w:ascii="仿宋_GB2312" w:eastAsia="仿宋_GB2312"/>
          <w:spacing w:val="28"/>
          <w:sz w:val="32"/>
        </w:rPr>
        <w:t>河南省学生联合会</w:t>
      </w:r>
      <w:r>
        <w:rPr>
          <w:rFonts w:hint="eastAsia" w:ascii="仿宋_GB2312" w:eastAsia="仿宋_GB2312"/>
          <w:spacing w:val="0"/>
          <w:sz w:val="32"/>
          <w:lang w:val="en-US" w:eastAsia="zh-CN"/>
        </w:rPr>
        <w:t xml:space="preserve">                                   </w:t>
      </w:r>
      <w:r>
        <w:rPr>
          <w:rFonts w:hint="eastAsia" w:ascii="仿宋_GB2312" w:eastAsia="仿宋_GB2312"/>
          <w:spacing w:val="0"/>
          <w:sz w:val="32"/>
        </w:rPr>
        <w:t>201</w:t>
      </w:r>
      <w:r>
        <w:rPr>
          <w:rFonts w:hint="eastAsia" w:ascii="仿宋_GB2312" w:eastAsia="仿宋_GB2312"/>
          <w:spacing w:val="0"/>
          <w:sz w:val="32"/>
          <w:lang w:val="en-US" w:eastAsia="zh-CN"/>
        </w:rPr>
        <w:t>9</w:t>
      </w:r>
      <w:r>
        <w:rPr>
          <w:rFonts w:hint="eastAsia" w:ascii="仿宋_GB2312" w:eastAsia="仿宋_GB2312"/>
          <w:spacing w:val="0"/>
          <w:sz w:val="32"/>
        </w:rPr>
        <w:t>年</w:t>
      </w:r>
      <w:r>
        <w:rPr>
          <w:rFonts w:hint="eastAsia" w:ascii="仿宋_GB2312" w:eastAsia="仿宋_GB2312"/>
          <w:spacing w:val="0"/>
          <w:sz w:val="32"/>
          <w:lang w:val="en-US" w:eastAsia="zh-CN"/>
        </w:rPr>
        <w:t>3</w:t>
      </w:r>
      <w:r>
        <w:rPr>
          <w:rFonts w:hint="eastAsia" w:ascii="仿宋_GB2312" w:eastAsia="仿宋_GB2312"/>
          <w:spacing w:val="0"/>
          <w:sz w:val="32"/>
        </w:rPr>
        <w:t>月</w:t>
      </w:r>
      <w:r>
        <w:rPr>
          <w:rFonts w:hint="eastAsia" w:ascii="仿宋_GB2312" w:eastAsia="仿宋_GB2312"/>
          <w:spacing w:val="0"/>
          <w:sz w:val="32"/>
          <w:lang w:val="en-US" w:eastAsia="zh-CN"/>
        </w:rPr>
        <w:t>28</w:t>
      </w:r>
      <w:r>
        <w:rPr>
          <w:rFonts w:hint="eastAsia" w:ascii="仿宋_GB2312" w:eastAsia="仿宋_GB2312"/>
          <w:spacing w:val="0"/>
          <w:sz w:val="32"/>
        </w:rPr>
        <w:t>日</w:t>
      </w:r>
      <w:r>
        <w:rPr>
          <w:rFonts w:hint="eastAsia" w:ascii="仿宋_GB2312" w:eastAsia="仿宋_GB2312"/>
          <w:spacing w:val="0"/>
          <w:sz w:val="32"/>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zh-CN" w:eastAsia="zh-CN"/>
        </w:rPr>
      </w:pPr>
    </w:p>
    <w:p>
      <w:pPr>
        <w:rPr>
          <w:rFonts w:hint="eastAsia" w:ascii="黑体" w:hAnsi="黑体" w:eastAsia="黑体" w:cs="黑体"/>
          <w:sz w:val="32"/>
          <w:szCs w:val="32"/>
          <w:lang w:val="zh-CN" w:eastAsia="zh-CN"/>
        </w:rPr>
      </w:pPr>
      <w:bookmarkStart w:id="1" w:name="bookmark4"/>
      <w:r>
        <w:rPr>
          <w:rFonts w:hint="eastAsia" w:ascii="黑体" w:hAnsi="黑体" w:eastAsia="黑体" w:cs="黑体"/>
          <w:sz w:val="32"/>
          <w:szCs w:val="32"/>
          <w:lang w:val="zh-CN" w:eastAsia="zh-CN"/>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lang w:val="zh-CN"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baseline"/>
        <w:outlineLvl w:val="9"/>
        <w:rPr>
          <w:rFonts w:hint="eastAsia" w:ascii="方正大标宋简体" w:hAnsi="方正大标宋简体" w:eastAsia="方正大标宋简体" w:cs="方正大标宋简体"/>
          <w:b/>
          <w:bCs/>
          <w:spacing w:val="0"/>
          <w:sz w:val="44"/>
        </w:rPr>
      </w:pPr>
      <w:r>
        <w:rPr>
          <w:rFonts w:hint="eastAsia" w:ascii="方正大标宋简体" w:hAnsi="方正大标宋简体" w:eastAsia="方正大标宋简体" w:cs="方正大标宋简体"/>
          <w:b/>
          <w:bCs/>
          <w:spacing w:val="0"/>
          <w:sz w:val="44"/>
        </w:rPr>
        <w:t>第</w:t>
      </w:r>
      <w:r>
        <w:rPr>
          <w:rFonts w:hint="eastAsia" w:ascii="方正大标宋简体" w:hAnsi="方正大标宋简体" w:eastAsia="方正大标宋简体" w:cs="方正大标宋简体"/>
          <w:b/>
          <w:bCs/>
          <w:spacing w:val="0"/>
          <w:sz w:val="44"/>
          <w:lang w:eastAsia="zh-CN"/>
        </w:rPr>
        <w:t>十四</w:t>
      </w:r>
      <w:r>
        <w:rPr>
          <w:rFonts w:hint="eastAsia" w:ascii="方正大标宋简体" w:hAnsi="方正大标宋简体" w:eastAsia="方正大标宋简体" w:cs="方正大标宋简体"/>
          <w:b/>
          <w:bCs/>
          <w:spacing w:val="0"/>
          <w:sz w:val="44"/>
        </w:rPr>
        <w:t>届“挑战杯”河南省大学生</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baseline"/>
        <w:outlineLvl w:val="9"/>
        <w:rPr>
          <w:rFonts w:hint="eastAsia" w:ascii="方正大标宋简体" w:hAnsi="方正大标宋简体" w:eastAsia="方正大标宋简体" w:cs="方正大标宋简体"/>
          <w:b/>
          <w:bCs/>
          <w:spacing w:val="0"/>
          <w:sz w:val="44"/>
        </w:rPr>
      </w:pPr>
      <w:r>
        <w:rPr>
          <w:rFonts w:hint="eastAsia" w:ascii="方正大标宋简体" w:hAnsi="方正大标宋简体" w:eastAsia="方正大标宋简体" w:cs="方正大标宋简体"/>
          <w:b/>
          <w:bCs/>
          <w:spacing w:val="0"/>
          <w:sz w:val="44"/>
        </w:rPr>
        <w:t>课外学术科技作品竞赛实施方案</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黑体" w:eastAsia="黑体"/>
          <w:spacing w:val="0"/>
          <w:sz w:val="32"/>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黑体" w:eastAsia="黑体"/>
          <w:spacing w:val="0"/>
          <w:sz w:val="32"/>
        </w:rPr>
      </w:pPr>
      <w:r>
        <w:rPr>
          <w:rFonts w:hint="eastAsia" w:ascii="黑体" w:eastAsia="黑体"/>
          <w:spacing w:val="0"/>
          <w:sz w:val="32"/>
        </w:rPr>
        <w:t>一、基本宗旨</w:t>
      </w:r>
    </w:p>
    <w:p>
      <w:pPr>
        <w:keepNext w:val="0"/>
        <w:keepLines w:val="0"/>
        <w:pageBreakBefore w:val="0"/>
        <w:widowControl w:val="0"/>
        <w:shd w:val="clear" w:color="auto" w:fill="auto"/>
        <w:kinsoku/>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eastAsia="仿宋_GB2312"/>
          <w:spacing w:val="0"/>
          <w:sz w:val="32"/>
        </w:rPr>
      </w:pPr>
      <w:r>
        <w:rPr>
          <w:rFonts w:hint="eastAsia" w:ascii="仿宋_GB2312" w:eastAsia="仿宋_GB2312"/>
          <w:spacing w:val="0"/>
          <w:sz w:val="32"/>
        </w:rPr>
        <w:t>本届“挑战杯”竞赛，旨在深入学习</w:t>
      </w:r>
      <w:r>
        <w:rPr>
          <w:rFonts w:hint="eastAsia" w:ascii="仿宋_GB2312" w:eastAsia="仿宋_GB2312"/>
          <w:spacing w:val="0"/>
          <w:sz w:val="32"/>
          <w:lang w:eastAsia="zh-CN"/>
        </w:rPr>
        <w:t>贯彻落实</w:t>
      </w:r>
      <w:r>
        <w:rPr>
          <w:rFonts w:hint="eastAsia" w:ascii="仿宋_GB2312" w:eastAsia="仿宋_GB2312"/>
          <w:spacing w:val="0"/>
          <w:sz w:val="32"/>
          <w:lang w:val="zh-CN" w:eastAsia="zh-CN"/>
        </w:rPr>
        <w:t>党的十九大和十九届二中、三中全会精神的</w:t>
      </w:r>
      <w:r>
        <w:rPr>
          <w:rFonts w:hint="eastAsia" w:ascii="仿宋_GB2312" w:eastAsia="仿宋_GB2312"/>
          <w:spacing w:val="0"/>
          <w:sz w:val="32"/>
          <w:lang w:eastAsia="zh-CN"/>
        </w:rPr>
        <w:t>重要举措</w:t>
      </w:r>
      <w:r>
        <w:rPr>
          <w:rFonts w:hint="eastAsia" w:ascii="仿宋_GB2312" w:eastAsia="仿宋_GB2312"/>
          <w:spacing w:val="0"/>
          <w:sz w:val="32"/>
        </w:rPr>
        <w:t>，</w:t>
      </w:r>
      <w:r>
        <w:rPr>
          <w:rFonts w:hint="eastAsia" w:ascii="仿宋_GB2312" w:eastAsia="仿宋_GB2312"/>
          <w:spacing w:val="0"/>
          <w:sz w:val="32"/>
          <w:lang w:eastAsia="zh-CN"/>
        </w:rPr>
        <w:t>对于</w:t>
      </w:r>
      <w:r>
        <w:rPr>
          <w:rFonts w:hint="eastAsia" w:ascii="仿宋_GB2312" w:eastAsia="仿宋_GB2312"/>
          <w:spacing w:val="0"/>
          <w:sz w:val="32"/>
        </w:rPr>
        <w:t>营造我省高校科技创新氛围，提升我省大学生科技创新能力，具有十分重要的意义。落实科技创新在国家发展全局的核心位置，全面推进素质教育，引导和激励在校大学生实事求是、刻苦钻研、勇于创新、多出成果，并在此基础上促进高校学生课外学术科技活动的蓬勃开展，推动高校科技成果向现实生产力转化，在较高层次上展示我省高校的育人成果，加快建设中原经济区、全面建成小康社会、实现中原崛起河南振兴发现和培养一批在学术科技上有作为、有潜力的优秀人才。</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黑体" w:eastAsia="黑体"/>
          <w:spacing w:val="0"/>
          <w:sz w:val="32"/>
        </w:rPr>
      </w:pPr>
      <w:r>
        <w:rPr>
          <w:rFonts w:hint="eastAsia" w:ascii="黑体" w:eastAsia="黑体"/>
          <w:spacing w:val="0"/>
          <w:sz w:val="32"/>
        </w:rPr>
        <w:t>二、参赛资格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仿宋_GB2312" w:eastAsia="仿宋_GB2312"/>
          <w:color w:val="auto"/>
          <w:spacing w:val="0"/>
          <w:sz w:val="32"/>
        </w:rPr>
      </w:pPr>
      <w:r>
        <w:rPr>
          <w:rFonts w:hint="eastAsia" w:ascii="仿宋_GB2312" w:eastAsia="仿宋_GB2312"/>
          <w:color w:val="auto"/>
          <w:spacing w:val="0"/>
          <w:sz w:val="32"/>
        </w:rPr>
        <w:t>凡在201</w:t>
      </w:r>
      <w:r>
        <w:rPr>
          <w:rFonts w:hint="eastAsia" w:ascii="仿宋_GB2312" w:eastAsia="仿宋_GB2312"/>
          <w:color w:val="auto"/>
          <w:spacing w:val="0"/>
          <w:sz w:val="32"/>
          <w:lang w:val="en-US" w:eastAsia="zh-CN"/>
        </w:rPr>
        <w:t>9</w:t>
      </w:r>
      <w:r>
        <w:rPr>
          <w:rFonts w:hint="eastAsia" w:ascii="仿宋_GB2312" w:eastAsia="仿宋_GB2312"/>
          <w:color w:val="auto"/>
          <w:spacing w:val="0"/>
          <w:sz w:val="32"/>
        </w:rPr>
        <w:t>年</w:t>
      </w:r>
      <w:r>
        <w:rPr>
          <w:rFonts w:hint="eastAsia" w:ascii="仿宋_GB2312" w:eastAsia="仿宋_GB2312"/>
          <w:color w:val="auto"/>
          <w:spacing w:val="0"/>
          <w:sz w:val="32"/>
          <w:lang w:val="en-US" w:eastAsia="zh-CN"/>
        </w:rPr>
        <w:t>6</w:t>
      </w:r>
      <w:r>
        <w:rPr>
          <w:rFonts w:hint="eastAsia" w:ascii="仿宋_GB2312" w:eastAsia="仿宋_GB2312"/>
          <w:color w:val="auto"/>
          <w:spacing w:val="0"/>
          <w:sz w:val="32"/>
        </w:rPr>
        <w:t>月1日以前正式注册的我省全日制非成人教育的各类高等院校在校专科生、本科生、硕士研究生（不含在职研究生）都可申报作品参赛。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仿宋_GB2312" w:eastAsia="仿宋_GB2312"/>
          <w:spacing w:val="0"/>
          <w:sz w:val="32"/>
        </w:rPr>
      </w:pPr>
      <w:r>
        <w:rPr>
          <w:rFonts w:hint="eastAsia" w:ascii="仿宋_GB2312" w:eastAsia="仿宋_GB2312"/>
          <w:spacing w:val="0"/>
          <w:sz w:val="32"/>
        </w:rPr>
        <w:t>申报参赛的作品必须是距201</w:t>
      </w:r>
      <w:r>
        <w:rPr>
          <w:rFonts w:hint="eastAsia" w:ascii="仿宋_GB2312" w:eastAsia="仿宋_GB2312"/>
          <w:spacing w:val="0"/>
          <w:sz w:val="32"/>
          <w:lang w:val="en-US" w:eastAsia="zh-CN"/>
        </w:rPr>
        <w:t>9</w:t>
      </w:r>
      <w:r>
        <w:rPr>
          <w:rFonts w:hint="eastAsia" w:ascii="仿宋_GB2312" w:eastAsia="仿宋_GB2312"/>
          <w:spacing w:val="0"/>
          <w:sz w:val="32"/>
        </w:rPr>
        <w:t>年</w:t>
      </w:r>
      <w:r>
        <w:rPr>
          <w:rFonts w:hint="eastAsia" w:ascii="仿宋_GB2312" w:eastAsia="仿宋_GB2312"/>
          <w:spacing w:val="0"/>
          <w:sz w:val="32"/>
          <w:lang w:val="en-US" w:eastAsia="zh-CN"/>
        </w:rPr>
        <w:t>6</w:t>
      </w:r>
      <w:r>
        <w:rPr>
          <w:rFonts w:hint="eastAsia" w:ascii="仿宋_GB2312" w:eastAsia="仿宋_GB2312"/>
          <w:spacing w:val="0"/>
          <w:sz w:val="32"/>
        </w:rPr>
        <w:t>月1日前两年内完成的学生课外学术科技或社会实践活动成果。毕业设计和课程设计（论文）、学年论文和学位论文、国际竞赛上获奖的作品、获国家级奖励成果等不得申报。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黑体" w:eastAsia="黑体"/>
          <w:spacing w:val="0"/>
          <w:sz w:val="32"/>
        </w:rPr>
      </w:pPr>
      <w:r>
        <w:rPr>
          <w:rFonts w:hint="eastAsia" w:ascii="黑体" w:eastAsia="黑体"/>
          <w:spacing w:val="0"/>
          <w:sz w:val="32"/>
        </w:rPr>
        <w:t>三、申报要求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color w:val="auto"/>
          <w:spacing w:val="0"/>
          <w:sz w:val="32"/>
        </w:rPr>
      </w:pPr>
      <w:r>
        <w:rPr>
          <w:rFonts w:hint="eastAsia" w:ascii="仿宋_GB2312" w:eastAsia="仿宋_GB2312"/>
          <w:color w:val="auto"/>
          <w:spacing w:val="0"/>
          <w:sz w:val="32"/>
        </w:rPr>
        <w:t>申报参赛的作品分为自然科学类学术论文、哲学社会科学类社会调查报告和学术论文、科技</w:t>
      </w:r>
      <w:r>
        <w:rPr>
          <w:rFonts w:hint="eastAsia" w:ascii="仿宋_GB2312" w:eastAsia="仿宋_GB2312"/>
          <w:color w:val="auto"/>
          <w:spacing w:val="0"/>
          <w:sz w:val="32"/>
          <w:lang w:eastAsia="zh-CN"/>
        </w:rPr>
        <w:t>发明</w:t>
      </w:r>
      <w:r>
        <w:rPr>
          <w:rFonts w:hint="eastAsia" w:ascii="仿宋_GB2312" w:eastAsia="仿宋_GB2312"/>
          <w:color w:val="auto"/>
          <w:spacing w:val="0"/>
          <w:sz w:val="32"/>
        </w:rPr>
        <w:t>制作</w:t>
      </w:r>
      <w:r>
        <w:rPr>
          <w:rFonts w:hint="eastAsia" w:ascii="仿宋_GB2312" w:eastAsia="仿宋_GB2312"/>
          <w:color w:val="auto"/>
          <w:spacing w:val="0"/>
          <w:sz w:val="32"/>
          <w:lang w:eastAsia="zh-CN"/>
        </w:rPr>
        <w:t>三</w:t>
      </w:r>
      <w:r>
        <w:rPr>
          <w:rFonts w:hint="eastAsia" w:ascii="仿宋_GB2312" w:eastAsia="仿宋_GB2312"/>
          <w:color w:val="auto"/>
          <w:spacing w:val="0"/>
          <w:sz w:val="32"/>
        </w:rPr>
        <w:t>大类。自然科学类学术论文作者限本专科生。哲学社会科学类社会调查报告和学术论文限定在哲学、经济、社会、法律、教育、管理</w:t>
      </w:r>
      <w:r>
        <w:rPr>
          <w:rFonts w:hint="eastAsia" w:ascii="仿宋_GB2312" w:eastAsia="仿宋_GB2312"/>
          <w:color w:val="auto"/>
          <w:spacing w:val="0"/>
          <w:sz w:val="32"/>
          <w:lang w:val="en-US" w:eastAsia="zh-CN"/>
        </w:rPr>
        <w:t>6</w:t>
      </w:r>
      <w:r>
        <w:rPr>
          <w:rFonts w:hint="eastAsia" w:ascii="仿宋_GB2312" w:eastAsia="仿宋_GB2312"/>
          <w:color w:val="auto"/>
          <w:spacing w:val="0"/>
          <w:sz w:val="32"/>
        </w:rPr>
        <w:t>个学科内。科技发明制作类分为A、B两类：A类指科技含量较高、制作投入较大的作品；B类指投入较少，且为生产技术或社会生活带来便利的小发明、小制作等。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仿宋_GB2312" w:eastAsia="仿宋_GB2312"/>
          <w:spacing w:val="0"/>
          <w:sz w:val="32"/>
        </w:rPr>
      </w:pPr>
      <w:r>
        <w:rPr>
          <w:rFonts w:hint="eastAsia" w:ascii="仿宋_GB2312" w:eastAsia="仿宋_GB2312"/>
          <w:color w:val="auto"/>
          <w:spacing w:val="0"/>
          <w:sz w:val="32"/>
        </w:rPr>
        <w:t>申报参赛的作品可分为个人作品和集体作品。申报个</w:t>
      </w:r>
      <w:r>
        <w:rPr>
          <w:rFonts w:hint="eastAsia" w:ascii="仿宋_GB2312" w:eastAsia="仿宋_GB2312"/>
          <w:spacing w:val="0"/>
          <w:sz w:val="32"/>
        </w:rPr>
        <w:t>人作品的，申报者必须承担申报作品60%以上的研究工作，作品鉴定证书、专利证书及发表的有关作品上的署名均应为第一作者，合作者必须是学生且不得超过</w:t>
      </w:r>
      <w:r>
        <w:rPr>
          <w:rFonts w:hint="eastAsia" w:ascii="仿宋_GB2312" w:eastAsia="仿宋_GB2312"/>
          <w:spacing w:val="0"/>
          <w:sz w:val="32"/>
          <w:lang w:val="en-US" w:eastAsia="zh-CN"/>
        </w:rPr>
        <w:t>2</w:t>
      </w:r>
      <w:r>
        <w:rPr>
          <w:rFonts w:hint="eastAsia" w:ascii="仿宋_GB2312" w:eastAsia="仿宋_GB2312"/>
          <w:spacing w:val="0"/>
          <w:sz w:val="32"/>
        </w:rPr>
        <w:t>人；凡作者超过</w:t>
      </w:r>
      <w:r>
        <w:rPr>
          <w:rFonts w:hint="eastAsia" w:ascii="仿宋_GB2312" w:eastAsia="仿宋_GB2312"/>
          <w:spacing w:val="0"/>
          <w:sz w:val="32"/>
          <w:lang w:val="en-US" w:eastAsia="zh-CN"/>
        </w:rPr>
        <w:t>3</w:t>
      </w:r>
      <w:r>
        <w:rPr>
          <w:rFonts w:hint="eastAsia" w:ascii="仿宋_GB2312" w:eastAsia="仿宋_GB2312"/>
          <w:spacing w:val="0"/>
          <w:sz w:val="32"/>
        </w:rPr>
        <w:t>人的项目或者不超过</w:t>
      </w:r>
      <w:r>
        <w:rPr>
          <w:rFonts w:hint="eastAsia" w:ascii="仿宋_GB2312" w:eastAsia="仿宋_GB2312"/>
          <w:spacing w:val="0"/>
          <w:sz w:val="32"/>
          <w:lang w:val="en-US" w:eastAsia="zh-CN"/>
        </w:rPr>
        <w:t>3</w:t>
      </w:r>
      <w:r>
        <w:rPr>
          <w:rFonts w:hint="eastAsia" w:ascii="仿宋_GB2312" w:eastAsia="仿宋_GB2312"/>
          <w:spacing w:val="0"/>
          <w:sz w:val="32"/>
        </w:rPr>
        <w:t>人、但无法区分第一作者的项目，均须申报集体作品，集体作品的作者必须均为学生。每人限报一件作品。凡有合作者的个人作品或集体作品，均按学历最高的作者划分至本专科生、硕士研究生类进行评审。</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仿宋_GB2312" w:eastAsia="仿宋_GB2312"/>
          <w:spacing w:val="0"/>
          <w:sz w:val="32"/>
        </w:rPr>
      </w:pPr>
      <w:r>
        <w:rPr>
          <w:rFonts w:hint="eastAsia" w:ascii="仿宋_GB2312" w:eastAsia="仿宋_GB2312"/>
          <w:spacing w:val="0"/>
          <w:sz w:val="32"/>
          <w:lang w:eastAsia="zh-CN"/>
        </w:rPr>
        <w:t>各</w:t>
      </w:r>
      <w:r>
        <w:rPr>
          <w:rFonts w:hint="eastAsia" w:ascii="仿宋_GB2312" w:eastAsia="仿宋_GB2312"/>
          <w:spacing w:val="0"/>
          <w:sz w:val="32"/>
        </w:rPr>
        <w:t>参赛作品涉及下列内容时，必须由申报者提供有关部门的证明材料，否则不予评审。动植物新品种的发现或培育，须有省级以上农科部门或科研院所开具证明。对国家保护动植物的研究，须有省级以上林业部门开具证明，证明该项研究的过程中未产生对所研究的动植物繁衍、生长不利的影响。新药物的研究须有卫生行政部门授权机构的鉴定证明。医疗卫生研究须通过专家鉴定，并最好附有在公开发行的专业性杂志上发表过的文章。涉及燃气用具等与人民生命财产安全有关用具的研究，须有国家相应行政部门授权机构的认定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仿宋_GB2312" w:eastAsia="仿宋_GB2312"/>
          <w:spacing w:val="0"/>
          <w:sz w:val="32"/>
        </w:rPr>
      </w:pPr>
      <w:r>
        <w:rPr>
          <w:rFonts w:hint="eastAsia" w:ascii="仿宋_GB2312" w:eastAsia="仿宋_GB2312"/>
          <w:spacing w:val="0"/>
          <w:sz w:val="32"/>
          <w:lang w:eastAsia="zh-CN"/>
        </w:rPr>
        <w:t>各参赛高校要做好</w:t>
      </w:r>
      <w:r>
        <w:rPr>
          <w:rFonts w:hint="eastAsia" w:ascii="仿宋_GB2312" w:eastAsia="仿宋_GB2312"/>
          <w:spacing w:val="0"/>
          <w:sz w:val="32"/>
        </w:rPr>
        <w:t>作品自查</w:t>
      </w:r>
      <w:r>
        <w:rPr>
          <w:rFonts w:hint="eastAsia" w:ascii="仿宋_GB2312" w:eastAsia="仿宋_GB2312"/>
          <w:spacing w:val="0"/>
          <w:sz w:val="32"/>
          <w:lang w:eastAsia="zh-CN"/>
        </w:rPr>
        <w:t>工作</w:t>
      </w:r>
      <w:r>
        <w:rPr>
          <w:rFonts w:hint="eastAsia" w:ascii="仿宋_GB2312" w:eastAsia="仿宋_GB2312"/>
          <w:spacing w:val="0"/>
          <w:sz w:val="32"/>
        </w:rPr>
        <w:t>，签订承诺书，承诺作品符合</w:t>
      </w:r>
      <w:r>
        <w:rPr>
          <w:rFonts w:hint="eastAsia" w:ascii="仿宋_GB2312" w:eastAsia="仿宋_GB2312"/>
          <w:spacing w:val="0"/>
          <w:sz w:val="32"/>
          <w:lang w:eastAsia="zh-CN"/>
        </w:rPr>
        <w:t>“</w:t>
      </w:r>
      <w:r>
        <w:rPr>
          <w:rFonts w:hint="eastAsia" w:ascii="仿宋_GB2312" w:eastAsia="仿宋_GB2312"/>
          <w:spacing w:val="0"/>
          <w:sz w:val="32"/>
        </w:rPr>
        <w:t>挑战杯</w:t>
      </w:r>
      <w:r>
        <w:rPr>
          <w:rFonts w:hint="eastAsia" w:ascii="仿宋_GB2312" w:eastAsia="仿宋_GB2312"/>
          <w:spacing w:val="0"/>
          <w:sz w:val="32"/>
          <w:lang w:eastAsia="zh-CN"/>
        </w:rPr>
        <w:t>”</w:t>
      </w:r>
      <w:r>
        <w:rPr>
          <w:rFonts w:hint="eastAsia" w:ascii="仿宋_GB2312" w:eastAsia="仿宋_GB2312"/>
          <w:spacing w:val="0"/>
          <w:sz w:val="32"/>
        </w:rPr>
        <w:t>申报作品要求，接受竞赛</w:t>
      </w:r>
      <w:r>
        <w:rPr>
          <w:rFonts w:hint="eastAsia" w:ascii="仿宋_GB2312" w:eastAsia="仿宋_GB2312"/>
          <w:spacing w:val="0"/>
          <w:sz w:val="32"/>
          <w:lang w:eastAsia="zh-CN"/>
        </w:rPr>
        <w:t>组委会</w:t>
      </w:r>
      <w:r>
        <w:rPr>
          <w:rFonts w:hint="eastAsia" w:ascii="仿宋_GB2312" w:eastAsia="仿宋_GB2312"/>
          <w:spacing w:val="0"/>
          <w:sz w:val="32"/>
        </w:rPr>
        <w:t>抽查。一旦发现不符合申报要求的作品，将取消参赛资格，该学校不得补报作品</w:t>
      </w:r>
      <w:r>
        <w:rPr>
          <w:rFonts w:hint="eastAsia" w:ascii="仿宋_GB2312" w:eastAsia="仿宋_GB2312"/>
          <w:spacing w:val="0"/>
          <w:sz w:val="32"/>
          <w:lang w:eastAsia="zh-CN"/>
        </w:rPr>
        <w:t>。参赛作品存在</w:t>
      </w:r>
      <w:r>
        <w:rPr>
          <w:rFonts w:hint="eastAsia" w:ascii="仿宋_GB2312" w:eastAsia="仿宋_GB2312"/>
          <w:spacing w:val="0"/>
          <w:sz w:val="32"/>
        </w:rPr>
        <w:t>舞弊、抄袭、作假</w:t>
      </w:r>
      <w:r>
        <w:rPr>
          <w:rFonts w:hint="eastAsia" w:ascii="仿宋_GB2312" w:eastAsia="仿宋_GB2312"/>
          <w:spacing w:val="0"/>
          <w:sz w:val="32"/>
          <w:lang w:eastAsia="zh-CN"/>
        </w:rPr>
        <w:t>，或将国家课题、教师科研成果包装成学生项目的，均视为严重违规行为。</w:t>
      </w:r>
      <w:r>
        <w:rPr>
          <w:rFonts w:hint="eastAsia" w:ascii="仿宋_GB2312" w:eastAsia="仿宋_GB2312"/>
          <w:spacing w:val="0"/>
          <w:sz w:val="32"/>
        </w:rPr>
        <w:t>经核实</w:t>
      </w:r>
      <w:r>
        <w:rPr>
          <w:rFonts w:hint="eastAsia" w:ascii="仿宋_GB2312" w:eastAsia="仿宋_GB2312"/>
          <w:spacing w:val="0"/>
          <w:sz w:val="32"/>
          <w:lang w:eastAsia="zh-CN"/>
        </w:rPr>
        <w:t>存在严重违规行为的</w:t>
      </w:r>
      <w:r>
        <w:rPr>
          <w:rFonts w:hint="eastAsia" w:ascii="仿宋_GB2312" w:eastAsia="仿宋_GB2312"/>
          <w:spacing w:val="0"/>
          <w:sz w:val="32"/>
        </w:rPr>
        <w:t>作品，从该参赛学校总分中扣除相当于三等奖分值的双倍分数，同时取消该校参评集体奖项的资格。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仿宋_GB2312" w:eastAsia="仿宋_GB2312"/>
          <w:spacing w:val="0"/>
          <w:sz w:val="32"/>
        </w:rPr>
      </w:pPr>
      <w:r>
        <w:rPr>
          <w:rFonts w:hint="eastAsia" w:ascii="仿宋_GB2312" w:eastAsia="仿宋_GB2312"/>
          <w:spacing w:val="0"/>
          <w:sz w:val="32"/>
        </w:rPr>
        <w:t>本校硕博连读生（直博生）若在决赛当年</w:t>
      </w:r>
      <w:r>
        <w:rPr>
          <w:rFonts w:hint="eastAsia" w:ascii="仿宋_GB2312" w:eastAsia="仿宋_GB2312"/>
          <w:spacing w:val="0"/>
          <w:sz w:val="32"/>
          <w:lang w:val="en-US" w:eastAsia="zh-CN"/>
        </w:rPr>
        <w:t>6</w:t>
      </w:r>
      <w:r>
        <w:rPr>
          <w:rFonts w:hint="eastAsia" w:ascii="仿宋_GB2312" w:eastAsia="仿宋_GB2312"/>
          <w:spacing w:val="0"/>
          <w:sz w:val="32"/>
        </w:rPr>
        <w:t>月1日以前未通过博士资格考试的，按硕士生学历申报作品。没有实行资格考试制度的学校，按照前两年为硕士申报作品。医学等本硕博连读生，按照四年、二年及后续分别对应本、硕申报</w:t>
      </w:r>
      <w:r>
        <w:rPr>
          <w:rFonts w:hint="eastAsia" w:ascii="仿宋_GB2312" w:eastAsia="仿宋_GB2312"/>
          <w:spacing w:val="0"/>
          <w:sz w:val="32"/>
          <w:lang w:eastAsia="zh-CN"/>
        </w:rPr>
        <w:t>，后续则不可申报</w:t>
      </w:r>
      <w:r>
        <w:rPr>
          <w:rFonts w:hint="eastAsia" w:ascii="仿宋_GB2312" w:eastAsia="仿宋_GB2312"/>
          <w:spacing w:val="0"/>
          <w:sz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default" w:ascii="仿宋_GB2312" w:eastAsia="仿宋_GB2312"/>
          <w:spacing w:val="0"/>
          <w:sz w:val="32"/>
          <w:lang w:val="en-US" w:eastAsia="zh-CN"/>
        </w:rPr>
      </w:pPr>
      <w:r>
        <w:rPr>
          <w:rFonts w:hint="eastAsia" w:ascii="仿宋_GB2312" w:eastAsia="仿宋_GB2312"/>
          <w:spacing w:val="0"/>
          <w:sz w:val="32"/>
          <w:lang w:eastAsia="zh-CN"/>
        </w:rPr>
        <w:t>参赛作品必须于申报前将作品项目名称、参赛学生和指导教师等关键信息在校内官方网站主页上进行不少于</w:t>
      </w:r>
      <w:r>
        <w:rPr>
          <w:rFonts w:hint="eastAsia" w:ascii="仿宋_GB2312" w:eastAsia="仿宋_GB2312"/>
          <w:spacing w:val="0"/>
          <w:sz w:val="32"/>
          <w:lang w:val="en-US" w:eastAsia="zh-CN"/>
        </w:rPr>
        <w:t>5天的公示，并将公示截图随作品一同报送。</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黑体" w:eastAsia="黑体"/>
          <w:spacing w:val="0"/>
          <w:sz w:val="32"/>
        </w:rPr>
      </w:pPr>
      <w:r>
        <w:rPr>
          <w:rFonts w:hint="eastAsia" w:ascii="黑体" w:eastAsia="黑体"/>
          <w:spacing w:val="0"/>
          <w:sz w:val="32"/>
        </w:rPr>
        <w:t>四、名额分配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仿宋_GB2312" w:eastAsia="仿宋_GB2312"/>
          <w:spacing w:val="0"/>
          <w:sz w:val="32"/>
        </w:rPr>
      </w:pPr>
      <w:r>
        <w:rPr>
          <w:rFonts w:hint="eastAsia" w:ascii="仿宋_GB2312" w:eastAsia="仿宋_GB2312"/>
          <w:spacing w:val="0"/>
          <w:sz w:val="32"/>
        </w:rPr>
        <w:t>各参赛高校推荐参加全省竞赛作品的名额按照在校学生规模分配。在校学生数40000人以上高校的每类作品</w:t>
      </w:r>
      <w:r>
        <w:rPr>
          <w:rFonts w:hint="eastAsia" w:ascii="仿宋_GB2312" w:eastAsia="仿宋_GB2312"/>
          <w:spacing w:val="0"/>
          <w:sz w:val="32"/>
          <w:lang w:eastAsia="zh-CN"/>
        </w:rPr>
        <w:t>（</w:t>
      </w:r>
      <w:r>
        <w:rPr>
          <w:rFonts w:hint="eastAsia" w:ascii="仿宋_GB2312" w:eastAsia="仿宋_GB2312"/>
          <w:color w:val="auto"/>
          <w:spacing w:val="0"/>
          <w:sz w:val="32"/>
        </w:rPr>
        <w:t>自然科学类学术论文、哲学社会科学类社会调查报告和学术论文、科技</w:t>
      </w:r>
      <w:r>
        <w:rPr>
          <w:rFonts w:hint="eastAsia" w:ascii="仿宋_GB2312" w:eastAsia="仿宋_GB2312"/>
          <w:color w:val="auto"/>
          <w:spacing w:val="0"/>
          <w:sz w:val="32"/>
          <w:lang w:eastAsia="zh-CN"/>
        </w:rPr>
        <w:t>发明</w:t>
      </w:r>
      <w:r>
        <w:rPr>
          <w:rFonts w:hint="eastAsia" w:ascii="仿宋_GB2312" w:eastAsia="仿宋_GB2312"/>
          <w:color w:val="auto"/>
          <w:spacing w:val="0"/>
          <w:sz w:val="32"/>
        </w:rPr>
        <w:t>制作</w:t>
      </w:r>
      <w:r>
        <w:rPr>
          <w:rFonts w:hint="eastAsia" w:ascii="仿宋_GB2312" w:eastAsia="仿宋_GB2312"/>
          <w:color w:val="auto"/>
          <w:spacing w:val="0"/>
          <w:sz w:val="32"/>
          <w:lang w:val="en-US" w:eastAsia="zh-CN"/>
        </w:rPr>
        <w:t>A类、</w:t>
      </w:r>
      <w:r>
        <w:rPr>
          <w:rFonts w:hint="eastAsia" w:ascii="仿宋_GB2312" w:eastAsia="仿宋_GB2312"/>
          <w:color w:val="auto"/>
          <w:spacing w:val="0"/>
          <w:sz w:val="32"/>
        </w:rPr>
        <w:t>科技</w:t>
      </w:r>
      <w:r>
        <w:rPr>
          <w:rFonts w:hint="eastAsia" w:ascii="仿宋_GB2312" w:eastAsia="仿宋_GB2312"/>
          <w:color w:val="auto"/>
          <w:spacing w:val="0"/>
          <w:sz w:val="32"/>
          <w:lang w:eastAsia="zh-CN"/>
        </w:rPr>
        <w:t>发明</w:t>
      </w:r>
      <w:r>
        <w:rPr>
          <w:rFonts w:hint="eastAsia" w:ascii="仿宋_GB2312" w:eastAsia="仿宋_GB2312"/>
          <w:color w:val="auto"/>
          <w:spacing w:val="0"/>
          <w:sz w:val="32"/>
        </w:rPr>
        <w:t>制作</w:t>
      </w:r>
      <w:r>
        <w:rPr>
          <w:rFonts w:hint="eastAsia" w:ascii="仿宋_GB2312" w:eastAsia="仿宋_GB2312"/>
          <w:color w:val="auto"/>
          <w:spacing w:val="0"/>
          <w:sz w:val="32"/>
          <w:lang w:val="en-US" w:eastAsia="zh-CN"/>
        </w:rPr>
        <w:t>B类</w:t>
      </w:r>
      <w:r>
        <w:rPr>
          <w:rFonts w:hint="eastAsia" w:ascii="仿宋_GB2312" w:eastAsia="仿宋_GB2312"/>
          <w:spacing w:val="0"/>
          <w:sz w:val="32"/>
          <w:lang w:eastAsia="zh-CN"/>
        </w:rPr>
        <w:t>）</w:t>
      </w:r>
      <w:r>
        <w:rPr>
          <w:rFonts w:hint="eastAsia" w:ascii="仿宋_GB2312" w:eastAsia="仿宋_GB2312"/>
          <w:spacing w:val="0"/>
          <w:sz w:val="32"/>
        </w:rPr>
        <w:t>限报12件，20000—40000人的高校每类作品限报9件，20000人以下的高校每类作品限报6件。</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rPr>
      </w:pPr>
      <w:r>
        <w:rPr>
          <w:rFonts w:hint="eastAsia" w:ascii="仿宋_GB2312" w:eastAsia="仿宋_GB2312"/>
          <w:spacing w:val="0"/>
          <w:sz w:val="32"/>
        </w:rPr>
        <w:t>各参赛高校推荐参加全省竞赛的每类作品中，研究生的作品不得超过该类作品总数的1/2。</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黑体" w:eastAsia="黑体"/>
          <w:spacing w:val="0"/>
          <w:sz w:val="32"/>
        </w:rPr>
      </w:pPr>
      <w:r>
        <w:rPr>
          <w:rFonts w:hint="eastAsia" w:ascii="黑体" w:eastAsia="黑体"/>
          <w:spacing w:val="0"/>
          <w:sz w:val="32"/>
        </w:rPr>
        <w:t>五、竞赛、评审方式</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rPr>
      </w:pPr>
      <w:r>
        <w:rPr>
          <w:rFonts w:hint="eastAsia" w:ascii="仿宋_GB2312" w:eastAsia="仿宋_GB2312"/>
          <w:spacing w:val="0"/>
          <w:sz w:val="32"/>
        </w:rPr>
        <w:t>竞赛分初评、预审、终审决赛进行。</w:t>
      </w:r>
    </w:p>
    <w:p>
      <w:pPr>
        <w:keepNext w:val="0"/>
        <w:keepLines w:val="0"/>
        <w:pageBreakBefore w:val="0"/>
        <w:widowControl w:val="0"/>
        <w:numPr>
          <w:ilvl w:val="0"/>
          <w:numId w:val="2"/>
        </w:numPr>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rPr>
      </w:pPr>
      <w:r>
        <w:rPr>
          <w:rFonts w:hint="eastAsia" w:ascii="楷体_GB2312" w:eastAsia="楷体_GB2312"/>
          <w:spacing w:val="0"/>
          <w:sz w:val="32"/>
        </w:rPr>
        <w:t>初评。</w:t>
      </w:r>
      <w:r>
        <w:rPr>
          <w:rFonts w:hint="eastAsia" w:ascii="仿宋_GB2312" w:eastAsia="仿宋_GB2312"/>
          <w:spacing w:val="0"/>
          <w:sz w:val="32"/>
        </w:rPr>
        <w:t>各参赛高校举办校级“挑战杯”竞赛，组织学生申报</w:t>
      </w:r>
      <w:r>
        <w:rPr>
          <w:rFonts w:hint="eastAsia" w:ascii="仿宋_GB2312" w:eastAsia="仿宋_GB2312"/>
          <w:spacing w:val="0"/>
          <w:sz w:val="32"/>
          <w:lang w:eastAsia="zh-CN"/>
        </w:rPr>
        <w:t>三</w:t>
      </w:r>
      <w:r>
        <w:rPr>
          <w:rFonts w:hint="eastAsia" w:ascii="仿宋_GB2312" w:eastAsia="仿宋_GB2312"/>
          <w:spacing w:val="0"/>
          <w:sz w:val="32"/>
        </w:rPr>
        <w:t>类作品参赛，并对学生的参赛资格和作品申报条件进行审查确认，聘请专家进行初评工作，评选出参加全省预审的作品，指导学生正确</w:t>
      </w:r>
      <w:r>
        <w:rPr>
          <w:rFonts w:hint="eastAsia" w:ascii="仿宋_GB2312" w:eastAsia="仿宋_GB2312"/>
          <w:spacing w:val="0"/>
          <w:sz w:val="32"/>
          <w:lang w:eastAsia="zh-CN"/>
        </w:rPr>
        <w:t>通过官方网站申报作品</w:t>
      </w:r>
      <w:r>
        <w:rPr>
          <w:rFonts w:hint="eastAsia" w:ascii="仿宋_GB2312" w:eastAsia="仿宋_GB2312"/>
          <w:spacing w:val="0"/>
          <w:sz w:val="32"/>
        </w:rPr>
        <w:t>。</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right="0" w:rightChars="0" w:firstLine="640"/>
        <w:textAlignment w:val="baseline"/>
        <w:outlineLvl w:val="9"/>
        <w:rPr>
          <w:rFonts w:hint="eastAsia" w:ascii="仿宋_GB2312" w:eastAsia="仿宋_GB2312"/>
          <w:spacing w:val="0"/>
          <w:sz w:val="32"/>
          <w:lang w:eastAsia="zh-CN"/>
        </w:rPr>
      </w:pPr>
      <w:r>
        <w:rPr>
          <w:rFonts w:hint="eastAsia" w:ascii="仿宋_GB2312" w:eastAsia="仿宋_GB2312"/>
          <w:spacing w:val="0"/>
          <w:sz w:val="32"/>
          <w:lang w:val="en-US" w:eastAsia="zh-CN"/>
        </w:rPr>
        <w:t>网站地址：</w:t>
      </w:r>
      <w:r>
        <w:rPr>
          <w:rFonts w:hint="eastAsia" w:ascii="仿宋_GB2312" w:eastAsia="仿宋_GB2312"/>
          <w:spacing w:val="0"/>
          <w:sz w:val="32"/>
          <w:lang w:eastAsia="zh-CN"/>
        </w:rPr>
        <w:fldChar w:fldCharType="begin"/>
      </w:r>
      <w:r>
        <w:rPr>
          <w:rFonts w:hint="eastAsia" w:ascii="仿宋_GB2312" w:eastAsia="仿宋_GB2312"/>
          <w:spacing w:val="0"/>
          <w:sz w:val="32"/>
          <w:lang w:eastAsia="zh-CN"/>
        </w:rPr>
        <w:instrText xml:space="preserve"> HYPERLINK "http://ha.tiaozhanbei.net/" </w:instrText>
      </w:r>
      <w:r>
        <w:rPr>
          <w:rFonts w:hint="eastAsia" w:ascii="仿宋_GB2312" w:eastAsia="仿宋_GB2312"/>
          <w:spacing w:val="0"/>
          <w:sz w:val="32"/>
          <w:lang w:eastAsia="zh-CN"/>
        </w:rPr>
        <w:fldChar w:fldCharType="separate"/>
      </w:r>
      <w:r>
        <w:rPr>
          <w:rStyle w:val="9"/>
          <w:rFonts w:hint="eastAsia" w:ascii="仿宋_GB2312" w:eastAsia="仿宋_GB2312"/>
          <w:spacing w:val="0"/>
          <w:sz w:val="32"/>
          <w:lang w:eastAsia="zh-CN"/>
        </w:rPr>
        <w:t>http://ha.tiaozhanbei.net/</w:t>
      </w:r>
      <w:r>
        <w:rPr>
          <w:rFonts w:hint="eastAsia" w:ascii="仿宋_GB2312" w:eastAsia="仿宋_GB2312"/>
          <w:spacing w:val="0"/>
          <w:sz w:val="32"/>
          <w:lang w:eastAsia="zh-CN"/>
        </w:rPr>
        <w:fldChar w:fldCharType="end"/>
      </w:r>
    </w:p>
    <w:p>
      <w:pPr>
        <w:keepNext w:val="0"/>
        <w:keepLines w:val="0"/>
        <w:pageBreakBefore w:val="0"/>
        <w:widowControl w:val="0"/>
        <w:numPr>
          <w:ilvl w:val="0"/>
          <w:numId w:val="0"/>
        </w:numPr>
        <w:kinsoku/>
        <w:overflowPunct/>
        <w:topLinePunct w:val="0"/>
        <w:autoSpaceDE/>
        <w:autoSpaceDN/>
        <w:bidi w:val="0"/>
        <w:adjustRightInd/>
        <w:snapToGrid/>
        <w:spacing w:line="600" w:lineRule="exact"/>
        <w:ind w:right="0" w:rightChars="0" w:firstLine="640"/>
        <w:textAlignment w:val="baseline"/>
        <w:outlineLvl w:val="9"/>
        <w:rPr>
          <w:rFonts w:hint="default" w:ascii="仿宋_GB2312" w:eastAsia="仿宋_GB2312"/>
          <w:spacing w:val="0"/>
          <w:sz w:val="32"/>
          <w:lang w:val="en-US" w:eastAsia="zh-CN"/>
        </w:rPr>
      </w:pPr>
      <w:r>
        <w:rPr>
          <w:rFonts w:hint="eastAsia" w:ascii="仿宋_GB2312" w:eastAsia="仿宋_GB2312"/>
          <w:spacing w:val="0"/>
          <w:sz w:val="32"/>
          <w:lang w:val="en-US" w:eastAsia="zh-CN"/>
        </w:rPr>
        <w:t>申报流程：学生需用邮箱注册后选择</w:t>
      </w:r>
      <w:r>
        <w:rPr>
          <w:rFonts w:hint="eastAsia" w:ascii="仿宋_GB2312" w:eastAsia="仿宋_GB2312"/>
          <w:spacing w:val="0"/>
          <w:sz w:val="32"/>
          <w:lang w:val="en-US" w:eastAsia="zh-CN"/>
        </w:rPr>
        <w:fldChar w:fldCharType="begin"/>
      </w:r>
      <w:r>
        <w:rPr>
          <w:rFonts w:hint="eastAsia" w:ascii="仿宋_GB2312" w:eastAsia="仿宋_GB2312"/>
          <w:spacing w:val="0"/>
          <w:sz w:val="32"/>
          <w:lang w:val="en-US" w:eastAsia="zh-CN"/>
        </w:rPr>
        <w:instrText xml:space="preserve"> HYPERLINK "http://ha.tiaozhanbei.net/m148/" </w:instrText>
      </w:r>
      <w:r>
        <w:rPr>
          <w:rFonts w:hint="eastAsia" w:ascii="仿宋_GB2312" w:eastAsia="仿宋_GB2312"/>
          <w:spacing w:val="0"/>
          <w:sz w:val="32"/>
          <w:lang w:val="en-US" w:eastAsia="zh-CN"/>
        </w:rPr>
        <w:fldChar w:fldCharType="separate"/>
      </w:r>
      <w:r>
        <w:rPr>
          <w:rFonts w:hint="eastAsia" w:ascii="仿宋_GB2312" w:eastAsia="仿宋_GB2312"/>
          <w:spacing w:val="0"/>
          <w:sz w:val="32"/>
          <w:lang w:val="en-US" w:eastAsia="zh-CN"/>
        </w:rPr>
        <w:t>2019年河南省“挑战杯”大学生课外学术科技作品竞赛</w:t>
      </w:r>
      <w:r>
        <w:rPr>
          <w:rFonts w:hint="eastAsia" w:ascii="仿宋_GB2312" w:eastAsia="仿宋_GB2312"/>
          <w:spacing w:val="0"/>
          <w:sz w:val="32"/>
          <w:lang w:val="en-US" w:eastAsia="zh-CN"/>
        </w:rPr>
        <w:fldChar w:fldCharType="end"/>
      </w:r>
      <w:r>
        <w:rPr>
          <w:rFonts w:hint="eastAsia" w:ascii="仿宋_GB2312" w:eastAsia="仿宋_GB2312"/>
          <w:spacing w:val="0"/>
          <w:sz w:val="32"/>
          <w:lang w:val="en-US" w:eastAsia="zh-CN"/>
        </w:rPr>
        <w:t>端口加入比赛申报作品；各高校团委可登陆管理员账号审核修改作品。</w:t>
      </w:r>
    </w:p>
    <w:p>
      <w:pPr>
        <w:keepNext w:val="0"/>
        <w:keepLines w:val="0"/>
        <w:pageBreakBefore w:val="0"/>
        <w:widowControl w:val="0"/>
        <w:numPr>
          <w:ilvl w:val="0"/>
          <w:numId w:val="2"/>
        </w:numPr>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rPr>
      </w:pPr>
      <w:r>
        <w:rPr>
          <w:rFonts w:hint="eastAsia" w:ascii="楷体_GB2312" w:eastAsia="楷体_GB2312"/>
          <w:spacing w:val="0"/>
          <w:sz w:val="32"/>
        </w:rPr>
        <w:t>预审。</w:t>
      </w:r>
      <w:r>
        <w:rPr>
          <w:rFonts w:hint="eastAsia" w:ascii="仿宋_GB2312" w:eastAsia="仿宋_GB2312"/>
          <w:spacing w:val="0"/>
          <w:sz w:val="32"/>
        </w:rPr>
        <w:t>成立省</w:t>
      </w:r>
      <w:r>
        <w:rPr>
          <w:rFonts w:hint="eastAsia" w:ascii="仿宋_GB2312" w:eastAsia="仿宋_GB2312"/>
          <w:spacing w:val="0"/>
          <w:sz w:val="32"/>
          <w:lang w:eastAsia="zh-CN"/>
        </w:rPr>
        <w:t>竞赛</w:t>
      </w:r>
      <w:r>
        <w:rPr>
          <w:rFonts w:hint="eastAsia" w:ascii="仿宋_GB2312" w:eastAsia="仿宋_GB2312"/>
          <w:spacing w:val="0"/>
          <w:sz w:val="32"/>
        </w:rPr>
        <w:t>评审委员会，按照竞赛章程规定，对作品进行资格和形式审查，评出</w:t>
      </w:r>
      <w:r>
        <w:rPr>
          <w:rFonts w:hint="eastAsia" w:ascii="仿宋_GB2312" w:eastAsia="仿宋_GB2312"/>
          <w:spacing w:val="0"/>
          <w:sz w:val="32"/>
          <w:lang w:val="en-US" w:eastAsia="zh-CN"/>
        </w:rPr>
        <w:t>3</w:t>
      </w:r>
      <w:r>
        <w:rPr>
          <w:rFonts w:hint="eastAsia" w:ascii="仿宋_GB2312" w:eastAsia="仿宋_GB2312"/>
          <w:spacing w:val="0"/>
          <w:sz w:val="32"/>
        </w:rPr>
        <w:t>0%左右的参赛作品进入终审决赛。</w:t>
      </w:r>
    </w:p>
    <w:p>
      <w:pPr>
        <w:keepNext w:val="0"/>
        <w:keepLines w:val="0"/>
        <w:pageBreakBefore w:val="0"/>
        <w:widowControl w:val="0"/>
        <w:numPr>
          <w:ilvl w:val="0"/>
          <w:numId w:val="2"/>
        </w:numPr>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rPr>
      </w:pPr>
      <w:r>
        <w:rPr>
          <w:rFonts w:hint="eastAsia" w:ascii="楷体_GB2312" w:eastAsia="楷体_GB2312"/>
          <w:spacing w:val="0"/>
          <w:sz w:val="32"/>
        </w:rPr>
        <w:t>终审决赛。</w:t>
      </w:r>
      <w:r>
        <w:rPr>
          <w:rFonts w:hint="eastAsia" w:ascii="仿宋_GB2312" w:eastAsia="仿宋_GB2312"/>
          <w:color w:val="auto"/>
          <w:spacing w:val="0"/>
          <w:sz w:val="32"/>
        </w:rPr>
        <w:t>评审委员会推荐通过预审的一定比例的</w:t>
      </w:r>
      <w:r>
        <w:rPr>
          <w:rFonts w:hint="eastAsia" w:ascii="仿宋_GB2312" w:eastAsia="仿宋_GB2312"/>
          <w:color w:val="auto"/>
          <w:spacing w:val="0"/>
          <w:sz w:val="32"/>
          <w:lang w:eastAsia="zh-CN"/>
        </w:rPr>
        <w:t>三</w:t>
      </w:r>
      <w:r>
        <w:rPr>
          <w:rFonts w:hint="eastAsia" w:ascii="仿宋_GB2312" w:eastAsia="仿宋_GB2312"/>
          <w:color w:val="auto"/>
          <w:spacing w:val="0"/>
          <w:sz w:val="32"/>
        </w:rPr>
        <w:t>类作品参加终审，接受评委问辩，最后评定作品终审成绩。其中，</w:t>
      </w:r>
      <w:r>
        <w:rPr>
          <w:rFonts w:hint="eastAsia" w:ascii="仿宋_GB2312" w:eastAsia="仿宋_GB2312"/>
          <w:spacing w:val="0"/>
          <w:sz w:val="32"/>
        </w:rPr>
        <w:t>科技</w:t>
      </w:r>
      <w:r>
        <w:rPr>
          <w:rFonts w:hint="eastAsia" w:ascii="仿宋_GB2312" w:eastAsia="仿宋_GB2312"/>
          <w:spacing w:val="0"/>
          <w:sz w:val="32"/>
          <w:lang w:eastAsia="zh-CN"/>
        </w:rPr>
        <w:t>发明</w:t>
      </w:r>
      <w:r>
        <w:rPr>
          <w:rFonts w:hint="eastAsia" w:ascii="仿宋_GB2312" w:eastAsia="仿宋_GB2312"/>
          <w:spacing w:val="0"/>
          <w:sz w:val="32"/>
        </w:rPr>
        <w:t>制作类作品</w:t>
      </w:r>
      <w:r>
        <w:rPr>
          <w:rFonts w:hint="eastAsia" w:ascii="仿宋_GB2312" w:eastAsia="仿宋_GB2312"/>
          <w:color w:val="auto"/>
          <w:spacing w:val="0"/>
          <w:sz w:val="32"/>
        </w:rPr>
        <w:t>须有实物或模型参展。同时组织终审作品的展示交流、实用科技成果转让洽谈和学生</w:t>
      </w:r>
      <w:r>
        <w:rPr>
          <w:rFonts w:hint="eastAsia" w:ascii="仿宋_GB2312" w:eastAsia="仿宋_GB2312"/>
          <w:spacing w:val="0"/>
          <w:sz w:val="32"/>
        </w:rPr>
        <w:t>课外学术科技活动的校际交流。</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rPr>
      </w:pPr>
      <w:r>
        <w:rPr>
          <w:rFonts w:hint="eastAsia" w:ascii="仿宋_GB2312" w:eastAsia="仿宋_GB2312"/>
          <w:spacing w:val="0"/>
          <w:sz w:val="32"/>
        </w:rPr>
        <w:t>评审工作以作品的科学性、先进性、现实意义为基本评判标准，各高校组织协调委员会负责初评。省</w:t>
      </w:r>
      <w:r>
        <w:rPr>
          <w:rFonts w:hint="eastAsia" w:ascii="仿宋_GB2312" w:eastAsia="仿宋_GB2312"/>
          <w:spacing w:val="0"/>
          <w:sz w:val="32"/>
          <w:lang w:eastAsia="zh-CN"/>
        </w:rPr>
        <w:t>竞赛</w:t>
      </w:r>
      <w:r>
        <w:rPr>
          <w:rFonts w:hint="eastAsia" w:ascii="仿宋_GB2312" w:eastAsia="仿宋_GB2312"/>
          <w:spacing w:val="0"/>
          <w:sz w:val="32"/>
        </w:rPr>
        <w:t>评审委员会负责预审和终审并提出获奖名单。省</w:t>
      </w:r>
      <w:r>
        <w:rPr>
          <w:rFonts w:hint="eastAsia" w:ascii="仿宋_GB2312" w:eastAsia="仿宋_GB2312"/>
          <w:spacing w:val="0"/>
          <w:sz w:val="32"/>
          <w:lang w:eastAsia="zh-CN"/>
        </w:rPr>
        <w:t>竞赛组委会</w:t>
      </w:r>
      <w:r>
        <w:rPr>
          <w:rFonts w:hint="eastAsia" w:ascii="仿宋_GB2312" w:eastAsia="仿宋_GB2312"/>
          <w:spacing w:val="0"/>
          <w:sz w:val="32"/>
        </w:rPr>
        <w:t>办公室负责对被质疑作品参赛资格的评判。</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lang w:val="en-US" w:eastAsia="zh-CN"/>
        </w:rPr>
      </w:pPr>
      <w:r>
        <w:rPr>
          <w:rFonts w:hint="eastAsia" w:ascii="仿宋_GB2312" w:eastAsia="仿宋_GB2312"/>
          <w:spacing w:val="0"/>
          <w:sz w:val="32"/>
          <w:lang w:val="en-US" w:eastAsia="zh-CN"/>
        </w:rPr>
        <w:t>竞赛结束后，竞赛组委会对获奖作品保留一个月的质疑投诉期。若收到投诉，组委会将委托主办单位有关部门进行调查。经调查，如确认该作品资格不符者，取消该作品获得的奖励，重新计算作者所在学校团体总分及名次；如确认作品存在严重违规行为，该学校团体总分为零，取消该学校所获得的集体奖项，视情节严重取消该学校下届联合发起单位资格或参赛资格，并通报</w:t>
      </w:r>
      <w:r>
        <w:rPr>
          <w:rFonts w:hint="eastAsia" w:ascii="仿宋_GB2312" w:eastAsia="仿宋_GB2312"/>
          <w:spacing w:val="0"/>
          <w:sz w:val="32"/>
        </w:rPr>
        <w:t>省</w:t>
      </w:r>
      <w:r>
        <w:rPr>
          <w:rFonts w:hint="eastAsia" w:ascii="仿宋_GB2312" w:eastAsia="仿宋_GB2312"/>
          <w:spacing w:val="0"/>
          <w:sz w:val="32"/>
          <w:lang w:eastAsia="zh-CN"/>
        </w:rPr>
        <w:t>竞赛组委会</w:t>
      </w:r>
      <w:r>
        <w:rPr>
          <w:rFonts w:hint="eastAsia" w:ascii="仿宋_GB2312" w:eastAsia="仿宋_GB2312"/>
          <w:spacing w:val="0"/>
          <w:sz w:val="32"/>
          <w:lang w:val="en-US" w:eastAsia="zh-CN"/>
        </w:rPr>
        <w:t>成员单位。</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黑体" w:eastAsia="黑体"/>
          <w:spacing w:val="0"/>
          <w:sz w:val="32"/>
        </w:rPr>
      </w:pPr>
      <w:r>
        <w:rPr>
          <w:rFonts w:hint="eastAsia" w:ascii="黑体" w:eastAsia="黑体"/>
          <w:spacing w:val="0"/>
          <w:sz w:val="32"/>
        </w:rPr>
        <w:t>六、奖励方式</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ascii="仿宋_GB2312" w:eastAsia="仿宋_GB2312"/>
          <w:spacing w:val="0"/>
          <w:sz w:val="32"/>
        </w:rPr>
      </w:pPr>
      <w:r>
        <w:rPr>
          <w:rFonts w:hint="eastAsia" w:ascii="仿宋_GB2312" w:eastAsia="仿宋_GB2312"/>
          <w:spacing w:val="0"/>
          <w:sz w:val="32"/>
          <w:lang w:val="zh-CN" w:eastAsia="zh-CN"/>
        </w:rPr>
        <w:t>河南省评审委员对各高校报送的参赛作品进行预审，评出</w:t>
      </w:r>
      <w:r>
        <w:rPr>
          <w:rFonts w:hint="eastAsia" w:ascii="仿宋_GB2312" w:eastAsia="仿宋_GB2312"/>
          <w:spacing w:val="0"/>
          <w:sz w:val="32"/>
          <w:lang w:val="en-US" w:eastAsia="zh-CN"/>
        </w:rPr>
        <w:t>65</w:t>
      </w:r>
      <w:r>
        <w:rPr>
          <w:rFonts w:hint="eastAsia" w:ascii="仿宋_GB2312" w:eastAsia="仿宋_GB2312"/>
          <w:spacing w:val="0"/>
          <w:sz w:val="32"/>
          <w:lang w:val="zh-CN" w:eastAsia="zh-CN"/>
        </w:rPr>
        <w:t>%左右的参赛作品入围获奖作品，</w:t>
      </w:r>
      <w:r>
        <w:rPr>
          <w:rFonts w:hint="eastAsia" w:ascii="仿宋_GB2312" w:eastAsia="仿宋_GB2312"/>
          <w:spacing w:val="0"/>
          <w:sz w:val="32"/>
          <w:lang w:eastAsia="zh-CN"/>
        </w:rPr>
        <w:t>三</w:t>
      </w:r>
      <w:r>
        <w:rPr>
          <w:rFonts w:hint="eastAsia" w:ascii="仿宋_GB2312" w:eastAsia="仿宋_GB2312"/>
          <w:spacing w:val="0"/>
          <w:sz w:val="32"/>
        </w:rPr>
        <w:t>类作品分别按</w:t>
      </w:r>
      <w:r>
        <w:rPr>
          <w:rFonts w:hint="eastAsia" w:ascii="仿宋_GB2312" w:eastAsia="仿宋_GB2312"/>
          <w:spacing w:val="0"/>
          <w:sz w:val="32"/>
          <w:lang w:eastAsia="zh-CN"/>
        </w:rPr>
        <w:t>入围</w:t>
      </w:r>
      <w:r>
        <w:rPr>
          <w:rFonts w:hint="eastAsia" w:ascii="仿宋_GB2312" w:eastAsia="仿宋_GB2312"/>
          <w:spacing w:val="0"/>
          <w:sz w:val="32"/>
        </w:rPr>
        <w:t>作品总数的3%、8%、24%、65%设特等奖和一、二、三等奖（一、二、三等奖按本科院校、高职高专院校入围终审作品数分别评比）。</w:t>
      </w:r>
      <w:r>
        <w:rPr>
          <w:rFonts w:hint="eastAsia" w:ascii="仿宋_GB2312" w:eastAsia="仿宋_GB2312"/>
          <w:spacing w:val="0"/>
          <w:sz w:val="32"/>
          <w:lang w:eastAsia="zh-CN"/>
        </w:rPr>
        <w:t>本届竞赛</w:t>
      </w:r>
      <w:r>
        <w:rPr>
          <w:rFonts w:hint="eastAsia" w:ascii="仿宋_GB2312" w:eastAsia="仿宋_GB2312"/>
          <w:spacing w:val="0"/>
          <w:sz w:val="32"/>
        </w:rPr>
        <w:t>以学校为单位计算团体总分</w:t>
      </w:r>
      <w:r>
        <w:rPr>
          <w:rFonts w:hint="eastAsia" w:ascii="仿宋_GB2312" w:eastAsia="仿宋_GB2312"/>
          <w:spacing w:val="0"/>
          <w:sz w:val="32"/>
          <w:lang w:eastAsia="zh-CN"/>
        </w:rPr>
        <w:t>，</w:t>
      </w:r>
      <w:r>
        <w:rPr>
          <w:rFonts w:hint="eastAsia" w:ascii="仿宋" w:hAnsi="仿宋" w:eastAsia="仿宋" w:cs="仿宋"/>
          <w:color w:val="000000"/>
          <w:spacing w:val="0"/>
          <w:w w:val="100"/>
          <w:position w:val="0"/>
          <w:sz w:val="32"/>
          <w:szCs w:val="32"/>
          <w:u w:val="none"/>
          <w:lang w:val="zh-CN" w:eastAsia="zh-CN" w:bidi="zh-CN"/>
        </w:rPr>
        <w:t>团体总分由“作品得分”和“校级赛事组织得分”两部分组成，</w:t>
      </w:r>
      <w:r>
        <w:rPr>
          <w:rFonts w:hint="eastAsia" w:ascii="仿宋_GB2312" w:eastAsia="仿宋_GB2312"/>
          <w:spacing w:val="0"/>
          <w:sz w:val="32"/>
          <w:lang w:eastAsia="zh-CN"/>
        </w:rPr>
        <w:t>并按照</w:t>
      </w:r>
      <w:r>
        <w:rPr>
          <w:rFonts w:hint="eastAsia" w:ascii="仿宋_GB2312" w:eastAsia="仿宋_GB2312"/>
          <w:spacing w:val="0"/>
          <w:sz w:val="32"/>
        </w:rPr>
        <w:t>团体总分</w:t>
      </w:r>
      <w:r>
        <w:rPr>
          <w:rFonts w:hint="eastAsia" w:ascii="仿宋_GB2312" w:eastAsia="仿宋_GB2312"/>
          <w:spacing w:val="0"/>
          <w:sz w:val="32"/>
          <w:lang w:eastAsia="zh-CN"/>
        </w:rPr>
        <w:t>排名</w:t>
      </w:r>
      <w:r>
        <w:rPr>
          <w:rFonts w:hint="eastAsia" w:ascii="仿宋_GB2312" w:eastAsia="仿宋_GB2312"/>
          <w:spacing w:val="0"/>
          <w:sz w:val="32"/>
        </w:rPr>
        <w:t>授予“挑战杯”“优胜杯”</w:t>
      </w:r>
      <w:r>
        <w:rPr>
          <w:rFonts w:hint="eastAsia" w:ascii="仿宋_GB2312" w:eastAsia="仿宋_GB2312"/>
          <w:spacing w:val="0"/>
          <w:sz w:val="32"/>
          <w:lang w:eastAsia="zh-CN"/>
        </w:rPr>
        <w:t>和</w:t>
      </w:r>
      <w:r>
        <w:rPr>
          <w:rFonts w:hint="eastAsia" w:ascii="仿宋_GB2312" w:eastAsia="仿宋_GB2312"/>
          <w:spacing w:val="0"/>
          <w:sz w:val="32"/>
        </w:rPr>
        <w:t>“优秀组织奖”</w:t>
      </w:r>
      <w:r>
        <w:rPr>
          <w:rFonts w:hint="eastAsia" w:ascii="仿宋_GB2312" w:eastAsia="仿宋_GB2312"/>
          <w:spacing w:val="0"/>
          <w:sz w:val="32"/>
          <w:lang w:eastAsia="zh-CN"/>
        </w:rPr>
        <w:t>等奖项</w:t>
      </w:r>
      <w:r>
        <w:rPr>
          <w:rFonts w:hint="eastAsia" w:ascii="仿宋_GB2312" w:eastAsia="仿宋_GB2312"/>
          <w:spacing w:val="0"/>
          <w:sz w:val="32"/>
        </w:rPr>
        <w:t>。</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 w:hAnsi="仿宋" w:eastAsia="仿宋" w:cs="仿宋"/>
          <w:color w:val="000000"/>
          <w:spacing w:val="0"/>
          <w:w w:val="100"/>
          <w:position w:val="0"/>
          <w:sz w:val="32"/>
          <w:szCs w:val="32"/>
          <w:u w:val="none"/>
          <w:lang w:val="zh-CN" w:eastAsia="zh-CN" w:bidi="zh-CN"/>
        </w:rPr>
      </w:pPr>
      <w:r>
        <w:rPr>
          <w:rFonts w:hint="eastAsia" w:ascii="仿宋" w:hAnsi="仿宋" w:eastAsia="仿宋" w:cs="仿宋"/>
          <w:color w:val="000000"/>
          <w:spacing w:val="0"/>
          <w:w w:val="100"/>
          <w:position w:val="0"/>
          <w:sz w:val="32"/>
          <w:szCs w:val="32"/>
          <w:u w:val="none"/>
          <w:lang w:val="zh-CN" w:eastAsia="zh-CN" w:bidi="zh-CN"/>
        </w:rPr>
        <w:t>校级赛事组织得分采取加分制，主要考察学校出台激励学生创新政策，联合教务、科研等部门举办校级赛事，校级赛事学校重视、指导教师积极参与、广泛覆盖学生、氛围营造及宣传等情况。</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黑体" w:eastAsia="黑体"/>
          <w:spacing w:val="0"/>
          <w:sz w:val="32"/>
        </w:rPr>
      </w:pPr>
      <w:r>
        <w:rPr>
          <w:rFonts w:hint="eastAsia" w:ascii="黑体" w:eastAsia="黑体"/>
          <w:spacing w:val="0"/>
          <w:sz w:val="32"/>
        </w:rPr>
        <w:t>七、实施步骤</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楷体_GB2312" w:eastAsia="楷体_GB2312"/>
          <w:color w:val="auto"/>
          <w:spacing w:val="0"/>
          <w:sz w:val="32"/>
        </w:rPr>
      </w:pPr>
      <w:r>
        <w:rPr>
          <w:rFonts w:hint="eastAsia" w:ascii="楷体_GB2312" w:eastAsia="楷体_GB2312"/>
          <w:spacing w:val="0"/>
          <w:sz w:val="32"/>
        </w:rPr>
        <w:t>（一）组织申报阶</w:t>
      </w:r>
      <w:r>
        <w:rPr>
          <w:rFonts w:hint="eastAsia" w:ascii="楷体_GB2312" w:eastAsia="楷体_GB2312"/>
          <w:color w:val="auto"/>
          <w:spacing w:val="0"/>
          <w:sz w:val="32"/>
        </w:rPr>
        <w:t>段（4月</w:t>
      </w:r>
      <w:r>
        <w:rPr>
          <w:rFonts w:hint="eastAsia" w:ascii="楷体_GB2312" w:eastAsia="楷体_GB2312"/>
          <w:color w:val="auto"/>
          <w:spacing w:val="0"/>
          <w:sz w:val="32"/>
          <w:lang w:val="en-US" w:eastAsia="zh-CN"/>
        </w:rPr>
        <w:t>20日前</w:t>
      </w:r>
      <w:r>
        <w:rPr>
          <w:rFonts w:hint="eastAsia" w:ascii="楷体_GB2312" w:eastAsia="楷体_GB2312"/>
          <w:color w:val="auto"/>
          <w:spacing w:val="0"/>
          <w:sz w:val="32"/>
        </w:rPr>
        <w:t>）</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rPr>
      </w:pPr>
      <w:r>
        <w:rPr>
          <w:rFonts w:hint="eastAsia" w:ascii="仿宋_GB2312" w:eastAsia="仿宋_GB2312"/>
          <w:spacing w:val="0"/>
          <w:sz w:val="32"/>
        </w:rPr>
        <w:t>1</w:t>
      </w:r>
      <w:r>
        <w:rPr>
          <w:rFonts w:hint="eastAsia" w:ascii="仿宋_GB2312" w:eastAsia="仿宋_GB2312"/>
          <w:spacing w:val="0"/>
          <w:sz w:val="32"/>
          <w:lang w:val="en-US" w:eastAsia="zh-CN"/>
        </w:rPr>
        <w:t xml:space="preserve">. </w:t>
      </w:r>
      <w:r>
        <w:rPr>
          <w:rFonts w:hint="eastAsia" w:ascii="仿宋_GB2312" w:eastAsia="仿宋_GB2312"/>
          <w:spacing w:val="0"/>
          <w:sz w:val="32"/>
        </w:rPr>
        <w:t>各参赛高校在校党政领导下，成立由校主管领导牵头，团委、教务、科研、学生、研究生等部门和学生会、研究生会共同参加的校竞赛活动组委会，组织开展本校竞赛。</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rPr>
      </w:pPr>
      <w:r>
        <w:rPr>
          <w:rFonts w:hint="eastAsia" w:ascii="仿宋_GB2312" w:eastAsia="仿宋_GB2312"/>
          <w:spacing w:val="0"/>
          <w:sz w:val="32"/>
        </w:rPr>
        <w:t>2</w:t>
      </w:r>
      <w:r>
        <w:rPr>
          <w:rFonts w:hint="eastAsia" w:ascii="仿宋_GB2312" w:eastAsia="仿宋_GB2312"/>
          <w:spacing w:val="0"/>
          <w:sz w:val="32"/>
          <w:lang w:val="en-US" w:eastAsia="zh-CN"/>
        </w:rPr>
        <w:t xml:space="preserve">. </w:t>
      </w:r>
      <w:r>
        <w:rPr>
          <w:rFonts w:hint="eastAsia" w:ascii="仿宋_GB2312" w:eastAsia="仿宋_GB2312"/>
          <w:spacing w:val="0"/>
          <w:sz w:val="32"/>
        </w:rPr>
        <w:t>各参赛高校在校级竞赛的基础上依照参赛作品分配名额择优推选出本校参加全省竞赛作品，并对学生申报作品参赛事宜进行指导。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仿宋_GB2312" w:eastAsia="仿宋_GB2312"/>
          <w:spacing w:val="0"/>
          <w:sz w:val="32"/>
        </w:rPr>
      </w:pPr>
      <w:r>
        <w:rPr>
          <w:rFonts w:hint="eastAsia" w:ascii="仿宋_GB2312" w:eastAsia="仿宋_GB2312"/>
          <w:spacing w:val="0"/>
          <w:sz w:val="32"/>
          <w:lang w:val="en-US" w:eastAsia="zh-CN"/>
        </w:rPr>
        <w:t xml:space="preserve">3. </w:t>
      </w:r>
      <w:r>
        <w:rPr>
          <w:rFonts w:hint="eastAsia" w:ascii="仿宋_GB2312" w:eastAsia="仿宋_GB2312"/>
          <w:spacing w:val="0"/>
          <w:sz w:val="32"/>
        </w:rPr>
        <w:t>4月</w:t>
      </w:r>
      <w:r>
        <w:rPr>
          <w:rFonts w:hint="eastAsia" w:ascii="仿宋_GB2312" w:eastAsia="仿宋_GB2312"/>
          <w:spacing w:val="0"/>
          <w:sz w:val="32"/>
          <w:lang w:val="en-US" w:eastAsia="zh-CN"/>
        </w:rPr>
        <w:t>20</w:t>
      </w:r>
      <w:r>
        <w:rPr>
          <w:rFonts w:hint="eastAsia" w:ascii="仿宋_GB2312" w:eastAsia="仿宋_GB2312"/>
          <w:spacing w:val="0"/>
          <w:sz w:val="32"/>
        </w:rPr>
        <w:t>日前，参赛高校</w:t>
      </w:r>
      <w:r>
        <w:rPr>
          <w:rFonts w:hint="eastAsia" w:ascii="仿宋_GB2312" w:eastAsia="仿宋_GB2312"/>
          <w:spacing w:val="0"/>
          <w:sz w:val="32"/>
          <w:lang w:eastAsia="zh-CN"/>
        </w:rPr>
        <w:t>通过官方网站进行作品申报，</w:t>
      </w:r>
      <w:r>
        <w:rPr>
          <w:rFonts w:hint="eastAsia" w:ascii="仿宋_GB2312" w:eastAsia="仿宋_GB2312"/>
          <w:spacing w:val="0"/>
          <w:sz w:val="32"/>
        </w:rPr>
        <w:t>逾期不报视为自动弃权。科技</w:t>
      </w:r>
      <w:r>
        <w:rPr>
          <w:rFonts w:hint="eastAsia" w:ascii="仿宋_GB2312" w:eastAsia="仿宋_GB2312"/>
          <w:spacing w:val="0"/>
          <w:sz w:val="32"/>
          <w:lang w:eastAsia="zh-CN"/>
        </w:rPr>
        <w:t>发明</w:t>
      </w:r>
      <w:r>
        <w:rPr>
          <w:rFonts w:hint="eastAsia" w:ascii="仿宋_GB2312" w:eastAsia="仿宋_GB2312"/>
          <w:spacing w:val="0"/>
          <w:sz w:val="32"/>
        </w:rPr>
        <w:t>制作</w:t>
      </w:r>
      <w:r>
        <w:rPr>
          <w:rFonts w:hint="eastAsia" w:ascii="仿宋_GB2312" w:eastAsia="仿宋_GB2312"/>
          <w:spacing w:val="0"/>
          <w:sz w:val="32"/>
          <w:lang w:eastAsia="zh-CN"/>
        </w:rPr>
        <w:t>类</w:t>
      </w:r>
      <w:r>
        <w:rPr>
          <w:rFonts w:hint="eastAsia" w:ascii="仿宋_GB2312" w:eastAsia="仿宋_GB2312"/>
          <w:spacing w:val="0"/>
          <w:sz w:val="32"/>
        </w:rPr>
        <w:t>作品必须附有研究报告，并提供图表、曲线、试验数据、原理结构图、外观图（照片），也可附鉴定证书和应用证书。</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楷体_GB2312" w:eastAsia="楷体_GB2312"/>
          <w:spacing w:val="0"/>
          <w:sz w:val="32"/>
        </w:rPr>
      </w:pPr>
      <w:r>
        <w:rPr>
          <w:rFonts w:hint="eastAsia" w:ascii="楷体_GB2312" w:eastAsia="楷体_GB2312"/>
          <w:spacing w:val="0"/>
          <w:sz w:val="32"/>
        </w:rPr>
        <w:t>（二）全省预审和参展准备阶段（5月</w:t>
      </w:r>
      <w:r>
        <w:rPr>
          <w:rFonts w:hint="eastAsia" w:ascii="楷体_GB2312" w:eastAsia="楷体_GB2312"/>
          <w:spacing w:val="0"/>
          <w:sz w:val="32"/>
          <w:lang w:val="en-US" w:eastAsia="zh-CN"/>
        </w:rPr>
        <w:t>10日前</w:t>
      </w:r>
      <w:r>
        <w:rPr>
          <w:rFonts w:hint="eastAsia" w:ascii="楷体_GB2312" w:eastAsia="楷体_GB2312"/>
          <w:spacing w:val="0"/>
          <w:sz w:val="32"/>
        </w:rPr>
        <w:t>）</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rPr>
      </w:pPr>
      <w:r>
        <w:rPr>
          <w:rFonts w:hint="eastAsia" w:ascii="仿宋_GB2312" w:eastAsia="仿宋_GB2312"/>
          <w:spacing w:val="0"/>
          <w:sz w:val="32"/>
        </w:rPr>
        <w:t>1</w:t>
      </w:r>
      <w:r>
        <w:rPr>
          <w:rFonts w:hint="eastAsia" w:ascii="仿宋_GB2312" w:eastAsia="仿宋_GB2312"/>
          <w:spacing w:val="0"/>
          <w:sz w:val="32"/>
          <w:lang w:val="en-US" w:eastAsia="zh-CN"/>
        </w:rPr>
        <w:t xml:space="preserve">. </w:t>
      </w:r>
      <w:r>
        <w:rPr>
          <w:rFonts w:hint="eastAsia" w:ascii="仿宋_GB2312" w:eastAsia="仿宋_GB2312"/>
          <w:spacing w:val="0"/>
          <w:sz w:val="32"/>
        </w:rPr>
        <w:t>4月下旬，省</w:t>
      </w:r>
      <w:r>
        <w:rPr>
          <w:rFonts w:hint="eastAsia" w:ascii="仿宋_GB2312" w:eastAsia="仿宋_GB2312"/>
          <w:spacing w:val="0"/>
          <w:sz w:val="32"/>
          <w:lang w:eastAsia="zh-CN"/>
        </w:rPr>
        <w:t>竞赛组委会</w:t>
      </w:r>
      <w:r>
        <w:rPr>
          <w:rFonts w:hint="eastAsia" w:ascii="仿宋_GB2312" w:eastAsia="仿宋_GB2312"/>
          <w:spacing w:val="0"/>
          <w:sz w:val="32"/>
        </w:rPr>
        <w:t>办公室根据申报作品类别、数量聘请专家组成评审委员会，制定《评审实施细则》、《资格及形式审查实施细则》，对作品进行资格和形式审查，省</w:t>
      </w:r>
      <w:r>
        <w:rPr>
          <w:rFonts w:hint="eastAsia" w:ascii="仿宋_GB2312" w:eastAsia="仿宋_GB2312"/>
          <w:spacing w:val="0"/>
          <w:sz w:val="32"/>
          <w:lang w:eastAsia="zh-CN"/>
        </w:rPr>
        <w:t>竞赛组委会</w:t>
      </w:r>
      <w:r>
        <w:rPr>
          <w:rFonts w:hint="eastAsia" w:ascii="仿宋_GB2312" w:eastAsia="仿宋_GB2312"/>
          <w:spacing w:val="0"/>
          <w:sz w:val="32"/>
        </w:rPr>
        <w:t>对申报作品进行预审。</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rPr>
      </w:pPr>
      <w:r>
        <w:rPr>
          <w:rFonts w:hint="eastAsia" w:ascii="仿宋_GB2312" w:eastAsia="仿宋_GB2312"/>
          <w:spacing w:val="0"/>
          <w:sz w:val="32"/>
          <w:lang w:val="en-US" w:eastAsia="zh-CN"/>
        </w:rPr>
        <w:t xml:space="preserve">2. </w:t>
      </w:r>
      <w:r>
        <w:rPr>
          <w:rFonts w:hint="eastAsia" w:ascii="仿宋_GB2312" w:eastAsia="仿宋_GB2312"/>
          <w:spacing w:val="0"/>
          <w:sz w:val="32"/>
        </w:rPr>
        <w:t>5月</w:t>
      </w:r>
      <w:r>
        <w:rPr>
          <w:rFonts w:hint="eastAsia" w:ascii="仿宋_GB2312" w:eastAsia="仿宋_GB2312"/>
          <w:spacing w:val="0"/>
          <w:sz w:val="32"/>
          <w:lang w:eastAsia="zh-CN"/>
        </w:rPr>
        <w:t>初</w:t>
      </w:r>
      <w:r>
        <w:rPr>
          <w:rFonts w:hint="eastAsia" w:ascii="仿宋_GB2312" w:eastAsia="仿宋_GB2312"/>
          <w:spacing w:val="0"/>
          <w:sz w:val="32"/>
        </w:rPr>
        <w:t>，省</w:t>
      </w:r>
      <w:r>
        <w:rPr>
          <w:rFonts w:hint="eastAsia" w:ascii="仿宋_GB2312" w:eastAsia="仿宋_GB2312"/>
          <w:spacing w:val="0"/>
          <w:sz w:val="32"/>
          <w:lang w:eastAsia="zh-CN"/>
        </w:rPr>
        <w:t>竞赛组委会</w:t>
      </w:r>
      <w:r>
        <w:rPr>
          <w:rFonts w:hint="eastAsia" w:ascii="仿宋_GB2312" w:eastAsia="仿宋_GB2312"/>
          <w:spacing w:val="0"/>
          <w:sz w:val="32"/>
        </w:rPr>
        <w:t>办公室向各有关高校下达终审参展通知及作品展览、演示等有关技术性规范要求。各有关高校按参展通知要求，做好参评参展的各项物资技术准备和组团、组队准备工作。</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楷体_GB2312" w:eastAsia="楷体_GB2312"/>
          <w:spacing w:val="0"/>
          <w:sz w:val="32"/>
        </w:rPr>
      </w:pPr>
      <w:r>
        <w:rPr>
          <w:rFonts w:hint="eastAsia" w:ascii="楷体_GB2312" w:eastAsia="楷体_GB2312"/>
          <w:spacing w:val="0"/>
          <w:sz w:val="32"/>
        </w:rPr>
        <w:t>（三）终审、展览、总结表彰阶段（5月</w:t>
      </w:r>
      <w:r>
        <w:rPr>
          <w:rFonts w:hint="eastAsia" w:ascii="楷体_GB2312" w:eastAsia="楷体_GB2312"/>
          <w:spacing w:val="0"/>
          <w:sz w:val="32"/>
          <w:lang w:val="en-US" w:eastAsia="zh-CN"/>
        </w:rPr>
        <w:t>25日前</w:t>
      </w:r>
      <w:r>
        <w:rPr>
          <w:rFonts w:hint="eastAsia" w:ascii="楷体_GB2312" w:eastAsia="楷体_GB2312"/>
          <w:spacing w:val="0"/>
          <w:sz w:val="32"/>
        </w:rPr>
        <w:t>）</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rPr>
      </w:pPr>
      <w:r>
        <w:rPr>
          <w:rFonts w:hint="eastAsia" w:ascii="仿宋_GB2312" w:eastAsia="仿宋_GB2312"/>
          <w:spacing w:val="0"/>
          <w:sz w:val="32"/>
        </w:rPr>
        <w:t>1</w:t>
      </w:r>
      <w:r>
        <w:rPr>
          <w:rFonts w:hint="eastAsia" w:ascii="仿宋_GB2312" w:eastAsia="仿宋_GB2312"/>
          <w:spacing w:val="0"/>
          <w:sz w:val="32"/>
          <w:lang w:val="en-US" w:eastAsia="zh-CN"/>
        </w:rPr>
        <w:t xml:space="preserve">. </w:t>
      </w:r>
      <w:r>
        <w:rPr>
          <w:rFonts w:hint="eastAsia" w:ascii="仿宋_GB2312" w:eastAsia="仿宋_GB2312"/>
          <w:spacing w:val="0"/>
          <w:sz w:val="32"/>
        </w:rPr>
        <w:t>各高校参赛团队报到、布展。</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rPr>
      </w:pPr>
      <w:r>
        <w:rPr>
          <w:rFonts w:hint="eastAsia" w:ascii="仿宋_GB2312" w:eastAsia="仿宋_GB2312"/>
          <w:spacing w:val="0"/>
          <w:sz w:val="32"/>
        </w:rPr>
        <w:t>2</w:t>
      </w:r>
      <w:r>
        <w:rPr>
          <w:rFonts w:hint="eastAsia" w:ascii="仿宋_GB2312" w:eastAsia="仿宋_GB2312"/>
          <w:spacing w:val="0"/>
          <w:sz w:val="32"/>
          <w:lang w:val="en-US" w:eastAsia="zh-CN"/>
        </w:rPr>
        <w:t xml:space="preserve">. </w:t>
      </w:r>
      <w:r>
        <w:rPr>
          <w:rFonts w:hint="eastAsia" w:ascii="仿宋_GB2312" w:eastAsia="仿宋_GB2312"/>
          <w:spacing w:val="0"/>
          <w:sz w:val="32"/>
        </w:rPr>
        <w:t>举行开幕式。</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rPr>
      </w:pPr>
      <w:r>
        <w:rPr>
          <w:rFonts w:hint="eastAsia" w:ascii="仿宋_GB2312" w:eastAsia="仿宋_GB2312"/>
          <w:spacing w:val="0"/>
          <w:sz w:val="32"/>
        </w:rPr>
        <w:t>3</w:t>
      </w:r>
      <w:r>
        <w:rPr>
          <w:rFonts w:hint="eastAsia" w:ascii="仿宋_GB2312" w:eastAsia="仿宋_GB2312"/>
          <w:spacing w:val="0"/>
          <w:sz w:val="32"/>
          <w:lang w:val="en-US" w:eastAsia="zh-CN"/>
        </w:rPr>
        <w:t xml:space="preserve">. </w:t>
      </w:r>
      <w:r>
        <w:rPr>
          <w:rFonts w:hint="eastAsia" w:ascii="仿宋_GB2312" w:eastAsia="仿宋_GB2312"/>
          <w:spacing w:val="0"/>
          <w:sz w:val="32"/>
        </w:rPr>
        <w:t>省</w:t>
      </w:r>
      <w:r>
        <w:rPr>
          <w:rFonts w:hint="eastAsia" w:ascii="仿宋_GB2312" w:eastAsia="仿宋_GB2312"/>
          <w:spacing w:val="0"/>
          <w:sz w:val="32"/>
          <w:lang w:eastAsia="zh-CN"/>
        </w:rPr>
        <w:t>竞赛组委会</w:t>
      </w:r>
      <w:r>
        <w:rPr>
          <w:rFonts w:hint="eastAsia" w:ascii="仿宋_GB2312" w:eastAsia="仿宋_GB2312"/>
          <w:spacing w:val="0"/>
          <w:sz w:val="32"/>
        </w:rPr>
        <w:t>对参赛作品进行终审，对参赛选手进行问辩。</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rPr>
      </w:pPr>
      <w:r>
        <w:rPr>
          <w:rFonts w:hint="eastAsia" w:ascii="仿宋_GB2312" w:eastAsia="仿宋_GB2312"/>
          <w:spacing w:val="0"/>
          <w:sz w:val="32"/>
        </w:rPr>
        <w:t>4</w:t>
      </w:r>
      <w:r>
        <w:rPr>
          <w:rFonts w:hint="eastAsia" w:ascii="仿宋_GB2312" w:eastAsia="仿宋_GB2312"/>
          <w:spacing w:val="0"/>
          <w:sz w:val="32"/>
          <w:lang w:val="en-US" w:eastAsia="zh-CN"/>
        </w:rPr>
        <w:t xml:space="preserve">. </w:t>
      </w:r>
      <w:r>
        <w:rPr>
          <w:rFonts w:hint="eastAsia" w:ascii="仿宋_GB2312" w:eastAsia="仿宋_GB2312"/>
          <w:spacing w:val="0"/>
          <w:sz w:val="32"/>
        </w:rPr>
        <w:t>举行参赛作品展览、</w:t>
      </w:r>
      <w:r>
        <w:rPr>
          <w:rFonts w:hint="eastAsia" w:ascii="仿宋_GB2312" w:eastAsia="仿宋_GB2312"/>
          <w:spacing w:val="0"/>
          <w:sz w:val="32"/>
          <w:lang w:eastAsia="zh-CN"/>
        </w:rPr>
        <w:t>社会开放日、</w:t>
      </w:r>
      <w:r>
        <w:rPr>
          <w:rFonts w:hint="eastAsia" w:ascii="仿宋_GB2312" w:eastAsia="仿宋_GB2312"/>
          <w:spacing w:val="0"/>
          <w:sz w:val="32"/>
        </w:rPr>
        <w:t>组织科技成果转让洽谈活动。</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baseline"/>
        <w:outlineLvl w:val="9"/>
        <w:rPr>
          <w:spacing w:val="0"/>
          <w:lang w:val="en-US"/>
        </w:rPr>
      </w:pPr>
      <w:r>
        <w:rPr>
          <w:rFonts w:hint="eastAsia" w:ascii="仿宋_GB2312" w:eastAsia="仿宋_GB2312"/>
          <w:spacing w:val="0"/>
          <w:sz w:val="32"/>
        </w:rPr>
        <w:t>5</w:t>
      </w:r>
      <w:r>
        <w:rPr>
          <w:rFonts w:hint="eastAsia" w:ascii="仿宋_GB2312" w:eastAsia="仿宋_GB2312"/>
          <w:spacing w:val="0"/>
          <w:sz w:val="32"/>
          <w:lang w:val="en-US" w:eastAsia="zh-CN"/>
        </w:rPr>
        <w:t xml:space="preserve">. </w:t>
      </w:r>
      <w:r>
        <w:rPr>
          <w:rFonts w:hint="eastAsia" w:ascii="仿宋_GB2312" w:eastAsia="仿宋_GB2312"/>
          <w:spacing w:val="0"/>
          <w:sz w:val="32"/>
        </w:rPr>
        <w:t>举行闭幕式，省</w:t>
      </w:r>
      <w:r>
        <w:rPr>
          <w:rFonts w:hint="eastAsia" w:ascii="仿宋_GB2312" w:eastAsia="仿宋_GB2312"/>
          <w:spacing w:val="0"/>
          <w:sz w:val="32"/>
          <w:lang w:eastAsia="zh-CN"/>
        </w:rPr>
        <w:t>竞赛组委会</w:t>
      </w:r>
      <w:r>
        <w:rPr>
          <w:rFonts w:hint="eastAsia" w:ascii="仿宋_GB2312" w:eastAsia="仿宋_GB2312"/>
          <w:spacing w:val="0"/>
          <w:sz w:val="32"/>
        </w:rPr>
        <w:t>办公室公布获奖名次，对获奖单位和个人进行表彰。</w:t>
      </w:r>
    </w:p>
    <w:p>
      <w:pPr>
        <w:rPr>
          <w:rFonts w:hint="default" w:ascii="黑体" w:hAnsi="黑体" w:eastAsia="黑体" w:cs="黑体"/>
          <w:sz w:val="32"/>
          <w:szCs w:val="32"/>
          <w:lang w:val="en-US" w:eastAsia="zh-CN"/>
        </w:rPr>
        <w:sectPr>
          <w:pgSz w:w="11900" w:h="16840"/>
          <w:pgMar w:top="1440" w:right="1800" w:bottom="1440" w:left="1800" w:header="0" w:footer="3" w:gutter="0"/>
          <w:cols w:space="720" w:num="1"/>
          <w:rtlGutter w:val="0"/>
          <w:docGrid w:linePitch="360"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val="zh-CN" w:eastAsia="zh-CN"/>
        </w:rPr>
        <w:t>附件</w:t>
      </w:r>
      <w:bookmarkEnd w:id="1"/>
      <w:r>
        <w:rPr>
          <w:rFonts w:hint="eastAsia" w:ascii="黑体" w:hAnsi="黑体" w:eastAsia="黑体" w:cs="黑体"/>
          <w:sz w:val="32"/>
          <w:szCs w:val="32"/>
          <w:lang w:val="en-US" w:eastAsia="zh-CN"/>
        </w:rPr>
        <w:t>2</w:t>
      </w:r>
    </w:p>
    <w:p>
      <w:pPr>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60" w:line="520" w:lineRule="exact"/>
        <w:jc w:val="center"/>
        <w:textAlignment w:val="auto"/>
        <w:rPr>
          <w:rFonts w:hint="eastAsia" w:ascii="黑体" w:hAnsi="黑体" w:eastAsia="黑体" w:cs="黑体"/>
          <w:b/>
          <w:bCs/>
          <w:sz w:val="44"/>
          <w:szCs w:val="44"/>
        </w:rPr>
      </w:pPr>
      <w:bookmarkStart w:id="2" w:name="bookmark13"/>
      <w:r>
        <w:rPr>
          <w:rFonts w:hint="eastAsia" w:ascii="黑体" w:hAnsi="黑体" w:eastAsia="黑体" w:cs="黑体"/>
          <w:b/>
          <w:bCs/>
          <w:sz w:val="44"/>
          <w:szCs w:val="44"/>
          <w:lang w:val="zh-CN" w:eastAsia="zh-CN"/>
        </w:rPr>
        <w:t>哲学社会科学类参赛作品参考题</w:t>
      </w:r>
      <w:bookmarkEnd w:id="2"/>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640" w:firstLineChars="200"/>
        <w:jc w:val="left"/>
        <w:textAlignment w:val="baseline"/>
        <w:outlineLvl w:val="9"/>
        <w:rPr>
          <w:rFonts w:hint="eastAsia" w:ascii="仿宋_GB2312" w:eastAsia="仿宋_GB2312"/>
          <w:spacing w:val="0"/>
          <w:sz w:val="32"/>
        </w:rPr>
      </w:pPr>
      <w:r>
        <w:rPr>
          <w:rFonts w:hint="eastAsia" w:ascii="仿宋_GB2312" w:eastAsia="仿宋_GB2312"/>
          <w:spacing w:val="0"/>
          <w:sz w:val="32"/>
          <w:lang w:val="zh-CN" w:eastAsia="zh-CN"/>
        </w:rPr>
        <w:t>为贯彻“挑战杯”竞赛的宗旨，帮助参赛学生将所学知识与经济社会发展紧密结合，更好地进行参赛作品选题制作，特请有关专家拟定了本参考题目。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640" w:firstLineChars="200"/>
        <w:jc w:val="left"/>
        <w:textAlignment w:val="baseline"/>
        <w:outlineLvl w:val="9"/>
        <w:rPr>
          <w:rFonts w:hint="eastAsia" w:ascii="仿宋_GB2312" w:eastAsia="仿宋_GB2312"/>
          <w:spacing w:val="0"/>
          <w:sz w:val="32"/>
        </w:rPr>
      </w:pPr>
      <w:r>
        <w:rPr>
          <w:rFonts w:hint="eastAsia" w:ascii="仿宋_GB2312" w:eastAsia="仿宋_GB2312"/>
          <w:spacing w:val="0"/>
          <w:sz w:val="32"/>
          <w:lang w:val="zh-CN" w:eastAsia="zh-CN"/>
        </w:rPr>
        <w:t>总体要求：鼓励参赛学生认真学习党的十九大和十九届二中三中全会重要精神，自觉运用马克思主义立场观点方法分析和解决实际问题，积极弘扬社会主义核心价值观，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640" w:firstLineChars="200"/>
        <w:jc w:val="left"/>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参赛的作品，论文类每篇在8000字以内，调查报告类每篇在15</w:t>
      </w:r>
      <w:r>
        <w:rPr>
          <w:rFonts w:hint="eastAsia" w:ascii="仿宋_GB2312" w:eastAsia="仿宋_GB2312"/>
          <w:spacing w:val="0"/>
          <w:sz w:val="32"/>
          <w:lang w:val="en-US" w:eastAsia="zh-CN"/>
        </w:rPr>
        <w:t>0</w:t>
      </w:r>
      <w:r>
        <w:rPr>
          <w:rFonts w:hint="eastAsia" w:ascii="仿宋_GB2312" w:eastAsia="仿宋_GB2312"/>
          <w:spacing w:val="0"/>
          <w:sz w:val="32"/>
          <w:lang w:val="zh-CN" w:eastAsia="zh-CN"/>
        </w:rPr>
        <w:t>0</w:t>
      </w:r>
      <w:r>
        <w:rPr>
          <w:rFonts w:hint="eastAsia" w:ascii="仿宋_GB2312" w:eastAsia="仿宋_GB2312"/>
          <w:spacing w:val="0"/>
          <w:sz w:val="32"/>
          <w:lang w:val="en-US" w:eastAsia="zh-CN"/>
        </w:rPr>
        <w:t>0</w:t>
      </w:r>
      <w:r>
        <w:rPr>
          <w:rFonts w:hint="eastAsia" w:ascii="仿宋_GB2312" w:eastAsia="仿宋_GB2312"/>
          <w:spacing w:val="0"/>
          <w:sz w:val="32"/>
          <w:lang w:val="zh-CN" w:eastAsia="zh-CN"/>
        </w:rPr>
        <w:t>字以内。为党政部门、企事业单位所作的各类发展规划、工作方案和咨询报告，已被采用者亦可申报参赛，同时附上原件和采用单位证明的复印件和鉴定材料等。</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640" w:firstLineChars="200"/>
        <w:jc w:val="left"/>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本届组委会不接受没有列为竞赛学科的作品参赛。</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rightChars="0" w:firstLine="640" w:firstLineChars="200"/>
        <w:jc w:val="both"/>
        <w:textAlignment w:val="baseline"/>
        <w:outlineLvl w:val="9"/>
        <w:rPr>
          <w:rFonts w:hint="eastAsia" w:ascii="仿宋_GB2312" w:eastAsia="仿宋_GB2312"/>
          <w:spacing w:val="0"/>
          <w:sz w:val="32"/>
          <w:lang w:val="zh-CN"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right="0" w:rightChars="0"/>
        <w:jc w:val="center"/>
        <w:textAlignment w:val="baseline"/>
        <w:outlineLvl w:val="9"/>
        <w:rPr>
          <w:rFonts w:hint="eastAsia" w:ascii="仿宋" w:hAnsi="仿宋" w:eastAsia="仿宋" w:cs="仿宋"/>
          <w:b/>
          <w:bCs/>
          <w:sz w:val="32"/>
          <w:szCs w:val="32"/>
        </w:rPr>
      </w:pPr>
      <w:r>
        <w:rPr>
          <w:rFonts w:hint="eastAsia" w:ascii="仿宋" w:hAnsi="仿宋" w:eastAsia="仿宋" w:cs="仿宋"/>
          <w:b/>
          <w:bCs/>
          <w:color w:val="000000"/>
          <w:w w:val="100"/>
          <w:position w:val="0"/>
          <w:sz w:val="32"/>
          <w:szCs w:val="32"/>
          <w:lang w:val="zh-CN" w:eastAsia="zh-CN" w:bidi="zh-CN"/>
        </w:rPr>
        <w:t>哲学类</w:t>
      </w:r>
    </w:p>
    <w:p>
      <w:pPr>
        <w:keepNext w:val="0"/>
        <w:keepLines w:val="0"/>
        <w:pageBreakBefore w:val="0"/>
        <w:widowControl w:val="0"/>
        <w:numPr>
          <w:ilvl w:val="0"/>
          <w:numId w:val="3"/>
        </w:numPr>
        <w:shd w:val="clear" w:color="auto" w:fill="auto"/>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从改革开放40年经验看解放思想、实事求是与中国特色社会主义道路的开创</w:t>
      </w:r>
    </w:p>
    <w:p>
      <w:pPr>
        <w:keepNext w:val="0"/>
        <w:keepLines w:val="0"/>
        <w:pageBreakBefore w:val="0"/>
        <w:widowControl w:val="0"/>
        <w:numPr>
          <w:ilvl w:val="0"/>
          <w:numId w:val="3"/>
        </w:numPr>
        <w:shd w:val="clear" w:color="auto" w:fill="auto"/>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用马克思主义中国化最新成果指导实践，推进改革开放的典型调查</w:t>
      </w:r>
    </w:p>
    <w:p>
      <w:pPr>
        <w:keepNext w:val="0"/>
        <w:keepLines w:val="0"/>
        <w:pageBreakBefore w:val="0"/>
        <w:widowControl w:val="0"/>
        <w:numPr>
          <w:ilvl w:val="0"/>
          <w:numId w:val="3"/>
        </w:numPr>
        <w:shd w:val="clear" w:color="auto" w:fill="auto"/>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实现中华民族伟大复兴中国梦的实践和经验典型调查</w:t>
      </w:r>
    </w:p>
    <w:p>
      <w:pPr>
        <w:keepNext w:val="0"/>
        <w:keepLines w:val="0"/>
        <w:pageBreakBefore w:val="0"/>
        <w:widowControl w:val="0"/>
        <w:numPr>
          <w:ilvl w:val="0"/>
          <w:numId w:val="3"/>
        </w:numPr>
        <w:shd w:val="clear" w:color="auto" w:fill="auto"/>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实践创新、理论创新、制度创新、文化创新推动经济社会发展的典型调查</w:t>
      </w:r>
    </w:p>
    <w:p>
      <w:pPr>
        <w:keepNext w:val="0"/>
        <w:keepLines w:val="0"/>
        <w:pageBreakBefore w:val="0"/>
        <w:widowControl w:val="0"/>
        <w:numPr>
          <w:ilvl w:val="0"/>
          <w:numId w:val="3"/>
        </w:numPr>
        <w:shd w:val="clear" w:color="auto" w:fill="auto"/>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推进马克思主义中国化时代化大众化研究</w:t>
      </w:r>
    </w:p>
    <w:p>
      <w:pPr>
        <w:keepNext w:val="0"/>
        <w:keepLines w:val="0"/>
        <w:pageBreakBefore w:val="0"/>
        <w:widowControl w:val="0"/>
        <w:numPr>
          <w:ilvl w:val="0"/>
          <w:numId w:val="3"/>
        </w:numPr>
        <w:shd w:val="clear" w:color="auto" w:fill="auto"/>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培育和践行社会主义核心价值观的实践和经验典型调查</w:t>
      </w:r>
    </w:p>
    <w:p>
      <w:pPr>
        <w:keepNext w:val="0"/>
        <w:keepLines w:val="0"/>
        <w:pageBreakBefore w:val="0"/>
        <w:widowControl w:val="0"/>
        <w:numPr>
          <w:ilvl w:val="0"/>
          <w:numId w:val="3"/>
        </w:numPr>
        <w:shd w:val="clear" w:color="auto" w:fill="auto"/>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运用中华优秀传统文化推进社会主义核心价值观教育的实践与经验调查研究</w:t>
      </w:r>
    </w:p>
    <w:p>
      <w:pPr>
        <w:keepNext w:val="0"/>
        <w:keepLines w:val="0"/>
        <w:pageBreakBefore w:val="0"/>
        <w:widowControl w:val="0"/>
        <w:numPr>
          <w:ilvl w:val="0"/>
          <w:numId w:val="3"/>
        </w:numPr>
        <w:shd w:val="clear" w:color="auto" w:fill="auto"/>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新的时代条件下促进人的全面发展调查研究</w:t>
      </w:r>
    </w:p>
    <w:p>
      <w:pPr>
        <w:keepNext w:val="0"/>
        <w:keepLines w:val="0"/>
        <w:pageBreakBefore w:val="0"/>
        <w:widowControl w:val="0"/>
        <w:numPr>
          <w:ilvl w:val="0"/>
          <w:numId w:val="3"/>
        </w:numPr>
        <w:shd w:val="clear" w:color="auto" w:fill="auto"/>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坚定中国特色社会主义道路自信、理论自信、制度自信、文化自信典型调查</w:t>
      </w:r>
    </w:p>
    <w:p>
      <w:pPr>
        <w:keepNext w:val="0"/>
        <w:keepLines w:val="0"/>
        <w:pageBreakBefore w:val="0"/>
        <w:widowControl w:val="0"/>
        <w:numPr>
          <w:ilvl w:val="0"/>
          <w:numId w:val="3"/>
        </w:numPr>
        <w:shd w:val="clear" w:color="auto" w:fill="auto"/>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构建中国特色哲学学科体系、学术体系、话语体系研究</w:t>
      </w:r>
    </w:p>
    <w:p>
      <w:pPr>
        <w:keepNext w:val="0"/>
        <w:keepLines w:val="0"/>
        <w:pageBreakBefore w:val="0"/>
        <w:widowControl w:val="0"/>
        <w:numPr>
          <w:ilvl w:val="0"/>
          <w:numId w:val="3"/>
        </w:numPr>
        <w:shd w:val="clear" w:color="auto" w:fill="auto"/>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传承和弘扬中华优秀传统文化的典型调查和研究</w:t>
      </w:r>
    </w:p>
    <w:p>
      <w:pPr>
        <w:keepNext w:val="0"/>
        <w:keepLines w:val="0"/>
        <w:pageBreakBefore w:val="0"/>
        <w:widowControl w:val="0"/>
        <w:numPr>
          <w:ilvl w:val="0"/>
          <w:numId w:val="3"/>
        </w:numPr>
        <w:shd w:val="clear" w:color="auto" w:fill="auto"/>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提高国家文化软实力，讲好中国故事的典型调查和研究</w:t>
      </w:r>
    </w:p>
    <w:p>
      <w:pPr>
        <w:keepNext w:val="0"/>
        <w:keepLines w:val="0"/>
        <w:pageBreakBefore w:val="0"/>
        <w:widowControl w:val="0"/>
        <w:numPr>
          <w:ilvl w:val="0"/>
          <w:numId w:val="3"/>
        </w:numPr>
        <w:shd w:val="clear" w:color="auto" w:fill="auto"/>
        <w:kinsoku/>
        <w:overflowPunct/>
        <w:topLinePunct w:val="0"/>
        <w:autoSpaceDE/>
        <w:autoSpaceDN/>
        <w:bidi w:val="0"/>
        <w:adjustRightInd/>
        <w:snapToGrid/>
        <w:spacing w:line="600" w:lineRule="exact"/>
        <w:ind w:left="0" w:leftChars="0"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提高战略思维、历史思维、辩证思维、创新思维、底线思维能力，推进工作进展的典型调查研究</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200" w:line="520" w:lineRule="exact"/>
        <w:ind w:left="60" w:right="0" w:firstLine="0"/>
        <w:jc w:val="center"/>
        <w:textAlignment w:val="auto"/>
        <w:rPr>
          <w:rFonts w:hint="eastAsia" w:ascii="仿宋" w:hAnsi="仿宋" w:eastAsia="仿宋" w:cs="仿宋"/>
          <w:color w:val="000000"/>
          <w:w w:val="100"/>
          <w:position w:val="0"/>
          <w:lang w:val="zh-CN" w:eastAsia="zh-CN" w:bidi="zh-CN"/>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200" w:line="520" w:lineRule="exact"/>
        <w:ind w:left="60" w:right="0" w:firstLine="0"/>
        <w:jc w:val="center"/>
        <w:textAlignment w:val="auto"/>
        <w:rPr>
          <w:rFonts w:hint="eastAsia" w:ascii="仿宋" w:hAnsi="仿宋" w:eastAsia="仿宋" w:cs="仿宋"/>
        </w:rPr>
      </w:pPr>
      <w:r>
        <w:rPr>
          <w:rFonts w:hint="eastAsia" w:ascii="仿宋" w:hAnsi="仿宋" w:eastAsia="仿宋" w:cs="仿宋"/>
          <w:color w:val="000000"/>
          <w:w w:val="100"/>
          <w:position w:val="0"/>
          <w:lang w:val="zh-CN" w:eastAsia="zh-CN" w:bidi="zh-CN"/>
        </w:rPr>
        <w:t>经济类</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农村“精准扶贫”典型与经验调查研究</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全面建成小康社会丰富实践的典型调查研究</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推进五大发展理念成功案例调查研究</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推动供给侧结构性改革的典型调查</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建设统一开放、竞争有序的现代市场体系的典型调查</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智慧城市建设多种模式的典型调查</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农村社会保障与公共事务治理典型与经验调查研究</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农民工市民化和返乡创业的调查研究</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扩大国内需求，刺激消费需求的实践和经验调查研究</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发挥区位优势、推动老少边贫地区发展的调查研究</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互联网推动工业企业技术创新的调查研究</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互联网金融风险典型调查研究</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“一带一路”战略与我国开放型经济新体制建设的理论与实践</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我国物联网服务业的崛起、发展与创新调查研究</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构建以企业为主体、市场为导向、产学研相结合的技术创新体系实践和经验的调查研究</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各地推动“双创”、提振经济、扩大就业的典型调查</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我国现代服务业发展路径开拓和模式创新的典型调查</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活跃和完善中国式劳动力和人才市场调查研究</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普惠金融发展案例的典型调查</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制造业转型升级与创新驱动问题调查研究</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深化国有企业改革和完善国有资产管理的典型调查</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21世纪我国企业“走出去”的典型调查</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新型城镇化与乡村振兴战略的典型调查</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各地生态环境产业发展与创新调查分析</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高质量发展（区域、产业、企业）路径调研和分析</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新动能、新技术、新业态、新模式典型调查研究以及国际比较</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简政减税降费典型调查研究</w:t>
      </w:r>
    </w:p>
    <w:p>
      <w:pPr>
        <w:keepNext w:val="0"/>
        <w:keepLines w:val="0"/>
        <w:pageBreakBefore w:val="0"/>
        <w:widowControl w:val="0"/>
        <w:numPr>
          <w:ilvl w:val="0"/>
          <w:numId w:val="4"/>
        </w:numPr>
        <w:shd w:val="clear" w:color="auto" w:fill="auto"/>
        <w:kinsoku/>
        <w:overflowPunct/>
        <w:topLinePunct w:val="0"/>
        <w:autoSpaceDE/>
        <w:autoSpaceDN/>
        <w:bidi w:val="0"/>
        <w:adjustRightInd/>
        <w:snapToGrid/>
        <w:spacing w:line="600" w:lineRule="exact"/>
        <w:ind w:right="0" w:rightChars="0" w:firstLine="640" w:firstLineChars="200"/>
        <w:textAlignment w:val="baseline"/>
        <w:outlineLvl w:val="9"/>
        <w:rPr>
          <w:rFonts w:hint="eastAsia" w:ascii="仿宋_GB2312" w:eastAsia="仿宋_GB2312"/>
          <w:spacing w:val="0"/>
          <w:sz w:val="32"/>
          <w:lang w:val="zh-CN" w:eastAsia="zh-CN"/>
        </w:rPr>
      </w:pPr>
      <w:r>
        <w:rPr>
          <w:rFonts w:hint="eastAsia" w:ascii="仿宋_GB2312" w:eastAsia="仿宋_GB2312"/>
          <w:spacing w:val="0"/>
          <w:sz w:val="32"/>
          <w:lang w:val="zh-CN" w:eastAsia="zh-CN"/>
        </w:rPr>
        <w:t>营商环境改善调研和分析</w:t>
      </w:r>
    </w:p>
    <w:p>
      <w:pPr>
        <w:pStyle w:val="14"/>
        <w:keepNext/>
        <w:keepLines/>
        <w:pageBreakBefore w:val="0"/>
        <w:widowControl w:val="0"/>
        <w:shd w:val="clear" w:color="auto" w:fill="auto"/>
        <w:kinsoku/>
        <w:wordWrap/>
        <w:overflowPunct/>
        <w:topLinePunct w:val="0"/>
        <w:autoSpaceDE/>
        <w:autoSpaceDN/>
        <w:bidi w:val="0"/>
        <w:adjustRightInd/>
        <w:snapToGrid/>
        <w:spacing w:before="0" w:after="45" w:line="520" w:lineRule="exact"/>
        <w:ind w:left="0" w:right="0" w:firstLine="0"/>
        <w:jc w:val="center"/>
        <w:textAlignment w:val="auto"/>
        <w:rPr>
          <w:rFonts w:hint="eastAsia" w:ascii="仿宋" w:hAnsi="仿宋" w:eastAsia="仿宋" w:cs="仿宋"/>
          <w:color w:val="000000"/>
          <w:w w:val="100"/>
          <w:position w:val="0"/>
          <w:lang w:val="zh-CN" w:eastAsia="zh-CN" w:bidi="zh-CN"/>
        </w:rPr>
      </w:pPr>
      <w:bookmarkStart w:id="3" w:name="bookmark14"/>
    </w:p>
    <w:p>
      <w:pPr>
        <w:pStyle w:val="14"/>
        <w:keepNext/>
        <w:keepLines/>
        <w:pageBreakBefore w:val="0"/>
        <w:widowControl w:val="0"/>
        <w:shd w:val="clear" w:color="auto" w:fill="auto"/>
        <w:kinsoku/>
        <w:wordWrap/>
        <w:overflowPunct/>
        <w:topLinePunct w:val="0"/>
        <w:autoSpaceDE/>
        <w:autoSpaceDN/>
        <w:bidi w:val="0"/>
        <w:adjustRightInd/>
        <w:snapToGrid/>
        <w:spacing w:before="0" w:after="45" w:line="520" w:lineRule="exact"/>
        <w:ind w:left="0" w:right="0" w:firstLine="0"/>
        <w:jc w:val="center"/>
        <w:textAlignment w:val="auto"/>
        <w:rPr>
          <w:rFonts w:hint="eastAsia" w:ascii="仿宋" w:hAnsi="仿宋" w:eastAsia="仿宋" w:cs="仿宋"/>
          <w:color w:val="000000"/>
          <w:w w:val="100"/>
          <w:position w:val="0"/>
          <w:lang w:val="zh-CN" w:eastAsia="zh-CN" w:bidi="zh-CN"/>
        </w:rPr>
      </w:pPr>
      <w:r>
        <w:rPr>
          <w:rFonts w:hint="eastAsia" w:ascii="仿宋" w:hAnsi="仿宋" w:eastAsia="仿宋" w:cs="仿宋"/>
          <w:color w:val="000000"/>
          <w:w w:val="100"/>
          <w:position w:val="0"/>
          <w:lang w:val="zh-CN" w:eastAsia="zh-CN" w:bidi="zh-CN"/>
        </w:rPr>
        <w:t>社会学类</w:t>
      </w:r>
      <w:bookmarkEnd w:id="3"/>
    </w:p>
    <w:p>
      <w:pPr>
        <w:pStyle w:val="10"/>
        <w:keepNext w:val="0"/>
        <w:keepLines w:val="0"/>
        <w:pageBreakBefore w:val="0"/>
        <w:widowControl w:val="0"/>
        <w:numPr>
          <w:ilvl w:val="0"/>
          <w:numId w:val="5"/>
        </w:numPr>
        <w:shd w:val="clear" w:color="auto" w:fill="auto"/>
        <w:tabs>
          <w:tab w:val="left" w:pos="1218"/>
        </w:tabs>
        <w:kinsoku/>
        <w:wordWrap/>
        <w:overflowPunct/>
        <w:topLinePunct w:val="0"/>
        <w:autoSpaceDE/>
        <w:autoSpaceDN/>
        <w:bidi w:val="0"/>
        <w:adjustRightInd/>
        <w:snapToGrid/>
        <w:spacing w:before="0" w:after="0" w:line="360" w:lineRule="auto"/>
        <w:ind w:leftChars="0"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各地加强社会建设的典型调查研究</w:t>
      </w:r>
    </w:p>
    <w:p>
      <w:pPr>
        <w:pStyle w:val="10"/>
        <w:keepNext w:val="0"/>
        <w:keepLines w:val="0"/>
        <w:pageBreakBefore w:val="0"/>
        <w:widowControl w:val="0"/>
        <w:numPr>
          <w:ilvl w:val="0"/>
          <w:numId w:val="5"/>
        </w:numPr>
        <w:shd w:val="clear" w:color="auto" w:fill="auto"/>
        <w:tabs>
          <w:tab w:val="left" w:pos="1218"/>
        </w:tabs>
        <w:kinsoku/>
        <w:wordWrap/>
        <w:overflowPunct/>
        <w:topLinePunct w:val="0"/>
        <w:autoSpaceDE/>
        <w:autoSpaceDN/>
        <w:bidi w:val="0"/>
        <w:adjustRightInd/>
        <w:snapToGrid/>
        <w:spacing w:before="0" w:after="0" w:line="360" w:lineRule="auto"/>
        <w:ind w:leftChars="0"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各地创新社会治理防范社会风险的典型调查研究</w:t>
      </w:r>
    </w:p>
    <w:p>
      <w:pPr>
        <w:pStyle w:val="10"/>
        <w:keepNext w:val="0"/>
        <w:keepLines w:val="0"/>
        <w:pageBreakBefore w:val="0"/>
        <w:widowControl w:val="0"/>
        <w:numPr>
          <w:ilvl w:val="0"/>
          <w:numId w:val="5"/>
        </w:numPr>
        <w:shd w:val="clear" w:color="auto" w:fill="auto"/>
        <w:tabs>
          <w:tab w:val="left" w:pos="1218"/>
        </w:tabs>
        <w:kinsoku/>
        <w:wordWrap/>
        <w:overflowPunct/>
        <w:topLinePunct w:val="0"/>
        <w:autoSpaceDE/>
        <w:autoSpaceDN/>
        <w:bidi w:val="0"/>
        <w:adjustRightInd/>
        <w:snapToGrid/>
        <w:spacing w:before="0" w:after="0" w:line="360" w:lineRule="auto"/>
        <w:ind w:leftChars="0"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各地加强和完善社区建设和服务的实践和经验调查研究</w:t>
      </w:r>
    </w:p>
    <w:p>
      <w:pPr>
        <w:pStyle w:val="10"/>
        <w:keepNext w:val="0"/>
        <w:keepLines w:val="0"/>
        <w:pageBreakBefore w:val="0"/>
        <w:widowControl w:val="0"/>
        <w:numPr>
          <w:ilvl w:val="0"/>
          <w:numId w:val="5"/>
        </w:numPr>
        <w:shd w:val="clear" w:color="auto" w:fill="auto"/>
        <w:tabs>
          <w:tab w:val="left" w:pos="1218"/>
        </w:tabs>
        <w:kinsoku/>
        <w:wordWrap/>
        <w:overflowPunct/>
        <w:topLinePunct w:val="0"/>
        <w:autoSpaceDE/>
        <w:autoSpaceDN/>
        <w:bidi w:val="0"/>
        <w:adjustRightInd/>
        <w:snapToGrid/>
        <w:spacing w:before="0" w:after="0" w:line="360" w:lineRule="auto"/>
        <w:ind w:leftChars="0"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改善促进民生推进社会保障事业的典型调查研究</w:t>
      </w:r>
    </w:p>
    <w:p>
      <w:pPr>
        <w:pStyle w:val="10"/>
        <w:keepNext w:val="0"/>
        <w:keepLines w:val="0"/>
        <w:pageBreakBefore w:val="0"/>
        <w:widowControl w:val="0"/>
        <w:numPr>
          <w:ilvl w:val="0"/>
          <w:numId w:val="5"/>
        </w:numPr>
        <w:shd w:val="clear" w:color="auto" w:fill="auto"/>
        <w:tabs>
          <w:tab w:val="left" w:pos="1218"/>
        </w:tabs>
        <w:kinsoku/>
        <w:wordWrap/>
        <w:overflowPunct/>
        <w:topLinePunct w:val="0"/>
        <w:autoSpaceDE/>
        <w:autoSpaceDN/>
        <w:bidi w:val="0"/>
        <w:adjustRightInd/>
        <w:snapToGrid/>
        <w:spacing w:before="0" w:after="0" w:line="360" w:lineRule="auto"/>
        <w:ind w:leftChars="0"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户籍制度改革与农民工社会融入的经验调查研究</w:t>
      </w:r>
    </w:p>
    <w:p>
      <w:pPr>
        <w:pStyle w:val="10"/>
        <w:keepNext w:val="0"/>
        <w:keepLines w:val="0"/>
        <w:pageBreakBefore w:val="0"/>
        <w:widowControl w:val="0"/>
        <w:numPr>
          <w:ilvl w:val="0"/>
          <w:numId w:val="5"/>
        </w:numPr>
        <w:shd w:val="clear" w:color="auto" w:fill="auto"/>
        <w:tabs>
          <w:tab w:val="left" w:pos="1218"/>
        </w:tabs>
        <w:kinsoku/>
        <w:wordWrap/>
        <w:overflowPunct/>
        <w:topLinePunct w:val="0"/>
        <w:autoSpaceDE/>
        <w:autoSpaceDN/>
        <w:bidi w:val="0"/>
        <w:adjustRightInd/>
        <w:snapToGrid/>
        <w:spacing w:before="0" w:after="0" w:line="360" w:lineRule="auto"/>
        <w:ind w:leftChars="0"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社会诚信、商务诚信、政务诚信建设实践和经验调查研究</w:t>
      </w:r>
    </w:p>
    <w:p>
      <w:pPr>
        <w:pStyle w:val="10"/>
        <w:keepNext w:val="0"/>
        <w:keepLines w:val="0"/>
        <w:pageBreakBefore w:val="0"/>
        <w:widowControl w:val="0"/>
        <w:numPr>
          <w:ilvl w:val="0"/>
          <w:numId w:val="5"/>
        </w:numPr>
        <w:shd w:val="clear" w:color="auto" w:fill="auto"/>
        <w:tabs>
          <w:tab w:val="left" w:pos="1218"/>
        </w:tabs>
        <w:kinsoku/>
        <w:wordWrap/>
        <w:overflowPunct/>
        <w:topLinePunct w:val="0"/>
        <w:autoSpaceDE/>
        <w:autoSpaceDN/>
        <w:bidi w:val="0"/>
        <w:adjustRightInd/>
        <w:snapToGrid/>
        <w:spacing w:before="0" w:after="0" w:line="360" w:lineRule="auto"/>
        <w:ind w:leftChars="0"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就业方式和就业观念转变的调查研究</w:t>
      </w:r>
    </w:p>
    <w:p>
      <w:pPr>
        <w:pStyle w:val="10"/>
        <w:keepNext w:val="0"/>
        <w:keepLines w:val="0"/>
        <w:pageBreakBefore w:val="0"/>
        <w:widowControl w:val="0"/>
        <w:numPr>
          <w:ilvl w:val="0"/>
          <w:numId w:val="5"/>
        </w:numPr>
        <w:shd w:val="clear" w:color="auto" w:fill="auto"/>
        <w:tabs>
          <w:tab w:val="left" w:pos="1218"/>
        </w:tabs>
        <w:kinsoku/>
        <w:wordWrap/>
        <w:overflowPunct/>
        <w:topLinePunct w:val="0"/>
        <w:autoSpaceDE/>
        <w:autoSpaceDN/>
        <w:bidi w:val="0"/>
        <w:adjustRightInd/>
        <w:snapToGrid/>
        <w:spacing w:before="0" w:after="0" w:line="360" w:lineRule="auto"/>
        <w:ind w:leftChars="0"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人口结构变化对经济社会发展的影响调查研究</w:t>
      </w:r>
    </w:p>
    <w:p>
      <w:pPr>
        <w:pStyle w:val="10"/>
        <w:keepNext w:val="0"/>
        <w:keepLines w:val="0"/>
        <w:pageBreakBefore w:val="0"/>
        <w:widowControl w:val="0"/>
        <w:numPr>
          <w:ilvl w:val="0"/>
          <w:numId w:val="5"/>
        </w:numPr>
        <w:shd w:val="clear" w:color="auto" w:fill="auto"/>
        <w:tabs>
          <w:tab w:val="left" w:pos="1218"/>
        </w:tabs>
        <w:kinsoku/>
        <w:wordWrap/>
        <w:overflowPunct/>
        <w:topLinePunct w:val="0"/>
        <w:autoSpaceDE/>
        <w:autoSpaceDN/>
        <w:bidi w:val="0"/>
        <w:adjustRightInd/>
        <w:snapToGrid/>
        <w:spacing w:before="0" w:after="0" w:line="360" w:lineRule="auto"/>
        <w:ind w:leftChars="0"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各地建设社会养老服务体系和发展老年服务产业的调查研究</w:t>
      </w:r>
    </w:p>
    <w:p>
      <w:pPr>
        <w:pStyle w:val="10"/>
        <w:keepNext w:val="0"/>
        <w:keepLines w:val="0"/>
        <w:pageBreakBefore w:val="0"/>
        <w:widowControl w:val="0"/>
        <w:numPr>
          <w:ilvl w:val="0"/>
          <w:numId w:val="5"/>
        </w:numPr>
        <w:shd w:val="clear" w:color="auto" w:fill="auto"/>
        <w:tabs>
          <w:tab w:val="left" w:pos="1218"/>
        </w:tabs>
        <w:kinsoku/>
        <w:wordWrap/>
        <w:overflowPunct/>
        <w:topLinePunct w:val="0"/>
        <w:autoSpaceDE/>
        <w:autoSpaceDN/>
        <w:bidi w:val="0"/>
        <w:adjustRightInd/>
        <w:snapToGrid/>
        <w:spacing w:before="0" w:after="0" w:line="360" w:lineRule="auto"/>
        <w:ind w:leftChars="0"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社会变迁与消费转型的调查研究</w:t>
      </w:r>
    </w:p>
    <w:p>
      <w:pPr>
        <w:pStyle w:val="10"/>
        <w:keepNext w:val="0"/>
        <w:keepLines w:val="0"/>
        <w:pageBreakBefore w:val="0"/>
        <w:widowControl w:val="0"/>
        <w:numPr>
          <w:ilvl w:val="0"/>
          <w:numId w:val="5"/>
        </w:numPr>
        <w:shd w:val="clear" w:color="auto" w:fill="auto"/>
        <w:tabs>
          <w:tab w:val="left" w:pos="1218"/>
        </w:tabs>
        <w:kinsoku/>
        <w:wordWrap/>
        <w:overflowPunct/>
        <w:topLinePunct w:val="0"/>
        <w:autoSpaceDE/>
        <w:autoSpaceDN/>
        <w:bidi w:val="0"/>
        <w:adjustRightInd/>
        <w:snapToGrid/>
        <w:spacing w:before="0" w:after="0" w:line="360" w:lineRule="auto"/>
        <w:ind w:leftChars="0"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社会工作服务活动和组织建设的调查研究</w:t>
      </w:r>
    </w:p>
    <w:p>
      <w:pPr>
        <w:pStyle w:val="10"/>
        <w:keepNext w:val="0"/>
        <w:keepLines w:val="0"/>
        <w:pageBreakBefore w:val="0"/>
        <w:widowControl w:val="0"/>
        <w:numPr>
          <w:ilvl w:val="0"/>
          <w:numId w:val="5"/>
        </w:numPr>
        <w:shd w:val="clear" w:color="auto" w:fill="auto"/>
        <w:tabs>
          <w:tab w:val="left" w:pos="1218"/>
        </w:tabs>
        <w:kinsoku/>
        <w:wordWrap/>
        <w:overflowPunct/>
        <w:topLinePunct w:val="0"/>
        <w:autoSpaceDE/>
        <w:autoSpaceDN/>
        <w:bidi w:val="0"/>
        <w:adjustRightInd/>
        <w:snapToGrid/>
        <w:spacing w:before="0" w:after="0" w:line="360" w:lineRule="auto"/>
        <w:ind w:leftChars="0"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我国社会救助工作体制和状况调查研究</w:t>
      </w:r>
    </w:p>
    <w:p>
      <w:pPr>
        <w:pStyle w:val="10"/>
        <w:keepNext w:val="0"/>
        <w:keepLines w:val="0"/>
        <w:pageBreakBefore w:val="0"/>
        <w:widowControl w:val="0"/>
        <w:numPr>
          <w:ilvl w:val="0"/>
          <w:numId w:val="5"/>
        </w:numPr>
        <w:shd w:val="clear" w:color="auto" w:fill="auto"/>
        <w:tabs>
          <w:tab w:val="left" w:pos="1218"/>
        </w:tabs>
        <w:kinsoku/>
        <w:wordWrap/>
        <w:overflowPunct/>
        <w:topLinePunct w:val="0"/>
        <w:autoSpaceDE/>
        <w:autoSpaceDN/>
        <w:bidi w:val="0"/>
        <w:adjustRightInd/>
        <w:snapToGrid/>
        <w:spacing w:before="0" w:after="0" w:line="360" w:lineRule="auto"/>
        <w:ind w:leftChars="0"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我国志愿者事业的发展状况和影响调查研究</w:t>
      </w:r>
    </w:p>
    <w:p>
      <w:pPr>
        <w:pStyle w:val="10"/>
        <w:keepNext w:val="0"/>
        <w:keepLines w:val="0"/>
        <w:pageBreakBefore w:val="0"/>
        <w:widowControl w:val="0"/>
        <w:numPr>
          <w:ilvl w:val="0"/>
          <w:numId w:val="5"/>
        </w:numPr>
        <w:shd w:val="clear" w:color="auto" w:fill="auto"/>
        <w:tabs>
          <w:tab w:val="left" w:pos="1218"/>
        </w:tabs>
        <w:kinsoku/>
        <w:wordWrap/>
        <w:overflowPunct/>
        <w:topLinePunct w:val="0"/>
        <w:autoSpaceDE/>
        <w:autoSpaceDN/>
        <w:bidi w:val="0"/>
        <w:adjustRightInd/>
        <w:snapToGrid/>
        <w:spacing w:before="0" w:after="0" w:line="360" w:lineRule="auto"/>
        <w:ind w:leftChars="0"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推进基层医疗卫生机构综合改革的典型调查研究</w:t>
      </w:r>
    </w:p>
    <w:p>
      <w:pPr>
        <w:pStyle w:val="10"/>
        <w:keepNext w:val="0"/>
        <w:keepLines w:val="0"/>
        <w:pageBreakBefore w:val="0"/>
        <w:widowControl w:val="0"/>
        <w:numPr>
          <w:ilvl w:val="0"/>
          <w:numId w:val="5"/>
        </w:numPr>
        <w:shd w:val="clear" w:color="auto" w:fill="auto"/>
        <w:tabs>
          <w:tab w:val="left" w:pos="1218"/>
        </w:tabs>
        <w:kinsoku/>
        <w:wordWrap/>
        <w:overflowPunct/>
        <w:topLinePunct w:val="0"/>
        <w:autoSpaceDE/>
        <w:autoSpaceDN/>
        <w:bidi w:val="0"/>
        <w:adjustRightInd/>
        <w:snapToGrid/>
        <w:spacing w:before="0" w:after="0" w:line="360" w:lineRule="auto"/>
        <w:ind w:leftChars="0"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社会办医，非盈利性医疗机构的发展与改革调查研究城市务工人员医疗保险改革和创新典型调查</w:t>
      </w:r>
    </w:p>
    <w:p>
      <w:pPr>
        <w:pStyle w:val="10"/>
        <w:keepNext w:val="0"/>
        <w:keepLines w:val="0"/>
        <w:pageBreakBefore w:val="0"/>
        <w:widowControl w:val="0"/>
        <w:numPr>
          <w:ilvl w:val="0"/>
          <w:numId w:val="5"/>
        </w:numPr>
        <w:shd w:val="clear" w:color="auto" w:fill="auto"/>
        <w:tabs>
          <w:tab w:val="left" w:pos="1218"/>
        </w:tabs>
        <w:kinsoku/>
        <w:wordWrap/>
        <w:overflowPunct/>
        <w:topLinePunct w:val="0"/>
        <w:autoSpaceDE/>
        <w:autoSpaceDN/>
        <w:bidi w:val="0"/>
        <w:adjustRightInd/>
        <w:snapToGrid/>
        <w:spacing w:before="0" w:after="0" w:line="360" w:lineRule="auto"/>
        <w:ind w:leftChars="0"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大众传媒中表达的价值观对受众的影响调查</w:t>
      </w:r>
    </w:p>
    <w:p>
      <w:pPr>
        <w:pStyle w:val="10"/>
        <w:keepNext w:val="0"/>
        <w:keepLines w:val="0"/>
        <w:pageBreakBefore w:val="0"/>
        <w:widowControl w:val="0"/>
        <w:numPr>
          <w:ilvl w:val="0"/>
          <w:numId w:val="5"/>
        </w:numPr>
        <w:shd w:val="clear" w:color="auto" w:fill="auto"/>
        <w:tabs>
          <w:tab w:val="left" w:pos="1218"/>
        </w:tabs>
        <w:kinsoku/>
        <w:wordWrap/>
        <w:overflowPunct/>
        <w:topLinePunct w:val="0"/>
        <w:autoSpaceDE/>
        <w:autoSpaceDN/>
        <w:bidi w:val="0"/>
        <w:adjustRightInd/>
        <w:snapToGrid/>
        <w:spacing w:before="0" w:after="0" w:line="360" w:lineRule="auto"/>
        <w:ind w:leftChars="0"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时尚的社会学和社会心理学研究</w:t>
      </w:r>
    </w:p>
    <w:p>
      <w:pPr>
        <w:pStyle w:val="10"/>
        <w:keepNext w:val="0"/>
        <w:keepLines w:val="0"/>
        <w:pageBreakBefore w:val="0"/>
        <w:widowControl w:val="0"/>
        <w:numPr>
          <w:ilvl w:val="0"/>
          <w:numId w:val="5"/>
        </w:numPr>
        <w:shd w:val="clear" w:color="auto" w:fill="auto"/>
        <w:tabs>
          <w:tab w:val="left" w:pos="1218"/>
        </w:tabs>
        <w:kinsoku/>
        <w:wordWrap/>
        <w:overflowPunct/>
        <w:topLinePunct w:val="0"/>
        <w:autoSpaceDE/>
        <w:autoSpaceDN/>
        <w:bidi w:val="0"/>
        <w:adjustRightInd/>
        <w:snapToGrid/>
        <w:spacing w:before="0" w:after="0" w:line="360" w:lineRule="auto"/>
        <w:ind w:leftChars="0"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网络发展及其对青少年影响的调查</w:t>
      </w:r>
    </w:p>
    <w:p>
      <w:pPr>
        <w:pStyle w:val="10"/>
        <w:keepNext w:val="0"/>
        <w:keepLines w:val="0"/>
        <w:pageBreakBefore w:val="0"/>
        <w:widowControl w:val="0"/>
        <w:numPr>
          <w:ilvl w:val="0"/>
          <w:numId w:val="5"/>
        </w:numPr>
        <w:shd w:val="clear" w:color="auto" w:fill="auto"/>
        <w:tabs>
          <w:tab w:val="left" w:pos="1218"/>
        </w:tabs>
        <w:kinsoku/>
        <w:wordWrap/>
        <w:overflowPunct/>
        <w:topLinePunct w:val="0"/>
        <w:autoSpaceDE/>
        <w:autoSpaceDN/>
        <w:bidi w:val="0"/>
        <w:adjustRightInd/>
        <w:snapToGrid/>
        <w:spacing w:before="0" w:after="0" w:line="360" w:lineRule="auto"/>
        <w:ind w:leftChars="0"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农村土地流转、乡村振兴战略的实施与社会主义新农村建设问题研究</w:t>
      </w:r>
    </w:p>
    <w:p>
      <w:pPr>
        <w:pStyle w:val="10"/>
        <w:keepNext w:val="0"/>
        <w:keepLines w:val="0"/>
        <w:pageBreakBefore w:val="0"/>
        <w:widowControl w:val="0"/>
        <w:numPr>
          <w:ilvl w:val="0"/>
          <w:numId w:val="5"/>
        </w:numPr>
        <w:shd w:val="clear" w:color="auto" w:fill="auto"/>
        <w:tabs>
          <w:tab w:val="left" w:pos="1218"/>
        </w:tabs>
        <w:kinsoku/>
        <w:wordWrap/>
        <w:overflowPunct/>
        <w:topLinePunct w:val="0"/>
        <w:autoSpaceDE/>
        <w:autoSpaceDN/>
        <w:bidi w:val="0"/>
        <w:adjustRightInd/>
        <w:snapToGrid/>
        <w:spacing w:before="0" w:after="0" w:line="360" w:lineRule="auto"/>
        <w:ind w:leftChars="0"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精准扶贫与农村贫困人口构成的转变问题研究</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20" w:lineRule="exact"/>
        <w:ind w:left="100" w:right="0" w:firstLine="0"/>
        <w:jc w:val="center"/>
        <w:textAlignment w:val="auto"/>
        <w:rPr>
          <w:rFonts w:hint="eastAsia" w:ascii="仿宋" w:hAnsi="仿宋" w:eastAsia="仿宋" w:cs="仿宋"/>
          <w:color w:val="000000"/>
          <w:w w:val="100"/>
          <w:position w:val="0"/>
          <w:lang w:val="zh-CN" w:eastAsia="zh-CN" w:bidi="zh-CN"/>
        </w:rPr>
      </w:pPr>
      <w:r>
        <w:rPr>
          <w:rFonts w:hint="eastAsia" w:ascii="仿宋" w:hAnsi="仿宋" w:eastAsia="仿宋" w:cs="仿宋"/>
          <w:color w:val="000000"/>
          <w:w w:val="100"/>
          <w:position w:val="0"/>
          <w:lang w:val="zh-CN" w:eastAsia="zh-CN" w:bidi="zh-CN"/>
        </w:rPr>
        <w:t>法律类</w:t>
      </w:r>
    </w:p>
    <w:p>
      <w:pPr>
        <w:pStyle w:val="10"/>
        <w:keepNext w:val="0"/>
        <w:keepLines w:val="0"/>
        <w:pageBreakBefore w:val="0"/>
        <w:widowControl w:val="0"/>
        <w:numPr>
          <w:ilvl w:val="0"/>
          <w:numId w:val="6"/>
        </w:numPr>
        <w:shd w:val="clear" w:color="auto" w:fill="auto"/>
        <w:tabs>
          <w:tab w:val="left" w:pos="1214"/>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全面推进依法治国必须坚持的基本原则研究</w:t>
      </w:r>
    </w:p>
    <w:p>
      <w:pPr>
        <w:pStyle w:val="10"/>
        <w:keepNext w:val="0"/>
        <w:keepLines w:val="0"/>
        <w:pageBreakBefore w:val="0"/>
        <w:widowControl w:val="0"/>
        <w:numPr>
          <w:ilvl w:val="0"/>
          <w:numId w:val="6"/>
        </w:numPr>
        <w:shd w:val="clear" w:color="auto" w:fill="auto"/>
        <w:tabs>
          <w:tab w:val="left" w:pos="1214"/>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党的领导、人民当家作主和依法治国有机统一的实现机制研究</w:t>
      </w:r>
    </w:p>
    <w:p>
      <w:pPr>
        <w:pStyle w:val="10"/>
        <w:keepNext w:val="0"/>
        <w:keepLines w:val="0"/>
        <w:pageBreakBefore w:val="0"/>
        <w:widowControl w:val="0"/>
        <w:numPr>
          <w:ilvl w:val="0"/>
          <w:numId w:val="6"/>
        </w:numPr>
        <w:shd w:val="clear" w:color="auto" w:fill="auto"/>
        <w:tabs>
          <w:tab w:val="left" w:pos="1214"/>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我国实施社会主义宪法的实践和经验研究</w:t>
      </w:r>
    </w:p>
    <w:p>
      <w:pPr>
        <w:pStyle w:val="10"/>
        <w:keepNext w:val="0"/>
        <w:keepLines w:val="0"/>
        <w:pageBreakBefore w:val="0"/>
        <w:widowControl w:val="0"/>
        <w:numPr>
          <w:ilvl w:val="0"/>
          <w:numId w:val="6"/>
        </w:numPr>
        <w:shd w:val="clear" w:color="auto" w:fill="auto"/>
        <w:tabs>
          <w:tab w:val="left" w:pos="1214"/>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我国社会主义市场经济法治实践相关问题调查研究</w:t>
      </w:r>
    </w:p>
    <w:p>
      <w:pPr>
        <w:pStyle w:val="10"/>
        <w:keepNext w:val="0"/>
        <w:keepLines w:val="0"/>
        <w:pageBreakBefore w:val="0"/>
        <w:widowControl w:val="0"/>
        <w:numPr>
          <w:ilvl w:val="0"/>
          <w:numId w:val="6"/>
        </w:numPr>
        <w:shd w:val="clear" w:color="auto" w:fill="auto"/>
        <w:tabs>
          <w:tab w:val="left" w:pos="1214"/>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物权法实施问题研究</w:t>
      </w:r>
    </w:p>
    <w:p>
      <w:pPr>
        <w:pStyle w:val="10"/>
        <w:keepNext w:val="0"/>
        <w:keepLines w:val="0"/>
        <w:pageBreakBefore w:val="0"/>
        <w:widowControl w:val="0"/>
        <w:numPr>
          <w:ilvl w:val="0"/>
          <w:numId w:val="6"/>
        </w:numPr>
        <w:shd w:val="clear" w:color="auto" w:fill="auto"/>
        <w:tabs>
          <w:tab w:val="left" w:pos="1214"/>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完善知识产权立法与实施机制研究</w:t>
      </w:r>
    </w:p>
    <w:p>
      <w:pPr>
        <w:pStyle w:val="10"/>
        <w:keepNext w:val="0"/>
        <w:keepLines w:val="0"/>
        <w:pageBreakBefore w:val="0"/>
        <w:widowControl w:val="0"/>
        <w:numPr>
          <w:ilvl w:val="0"/>
          <w:numId w:val="6"/>
        </w:numPr>
        <w:shd w:val="clear" w:color="auto" w:fill="auto"/>
        <w:tabs>
          <w:tab w:val="left" w:pos="1214"/>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新型互联网犯罪之应对研究</w:t>
      </w:r>
    </w:p>
    <w:p>
      <w:pPr>
        <w:pStyle w:val="10"/>
        <w:keepNext w:val="0"/>
        <w:keepLines w:val="0"/>
        <w:pageBreakBefore w:val="0"/>
        <w:widowControl w:val="0"/>
        <w:numPr>
          <w:ilvl w:val="0"/>
          <w:numId w:val="6"/>
        </w:numPr>
        <w:shd w:val="clear" w:color="auto" w:fill="auto"/>
        <w:tabs>
          <w:tab w:val="left" w:pos="1214"/>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我国民事立法完善问题研究</w:t>
      </w:r>
    </w:p>
    <w:p>
      <w:pPr>
        <w:pStyle w:val="10"/>
        <w:keepNext w:val="0"/>
        <w:keepLines w:val="0"/>
        <w:pageBreakBefore w:val="0"/>
        <w:widowControl w:val="0"/>
        <w:numPr>
          <w:ilvl w:val="0"/>
          <w:numId w:val="6"/>
        </w:numPr>
        <w:shd w:val="clear" w:color="auto" w:fill="auto"/>
        <w:tabs>
          <w:tab w:val="left" w:pos="1214"/>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未成年人法律保护问题调查研究</w:t>
      </w:r>
    </w:p>
    <w:p>
      <w:pPr>
        <w:pStyle w:val="10"/>
        <w:keepNext w:val="0"/>
        <w:keepLines w:val="0"/>
        <w:pageBreakBefore w:val="0"/>
        <w:widowControl w:val="0"/>
        <w:numPr>
          <w:ilvl w:val="0"/>
          <w:numId w:val="6"/>
        </w:numPr>
        <w:shd w:val="clear" w:color="auto" w:fill="auto"/>
        <w:tabs>
          <w:tab w:val="left" w:pos="1214"/>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各地法律援助工作的发展和创新实践调查研究</w:t>
      </w:r>
    </w:p>
    <w:p>
      <w:pPr>
        <w:pStyle w:val="10"/>
        <w:keepNext w:val="0"/>
        <w:keepLines w:val="0"/>
        <w:pageBreakBefore w:val="0"/>
        <w:widowControl w:val="0"/>
        <w:numPr>
          <w:ilvl w:val="0"/>
          <w:numId w:val="6"/>
        </w:numPr>
        <w:shd w:val="clear" w:color="auto" w:fill="auto"/>
        <w:tabs>
          <w:tab w:val="left" w:pos="1214"/>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公益诉讼问题研究</w:t>
      </w:r>
    </w:p>
    <w:p>
      <w:pPr>
        <w:pStyle w:val="10"/>
        <w:keepNext w:val="0"/>
        <w:keepLines w:val="0"/>
        <w:pageBreakBefore w:val="0"/>
        <w:widowControl w:val="0"/>
        <w:numPr>
          <w:ilvl w:val="0"/>
          <w:numId w:val="6"/>
        </w:numPr>
        <w:shd w:val="clear" w:color="auto" w:fill="auto"/>
        <w:tabs>
          <w:tab w:val="left" w:pos="1214"/>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我国文化、社会与生态文明建设的法律法规问题调查研究</w:t>
      </w:r>
    </w:p>
    <w:p>
      <w:pPr>
        <w:pStyle w:val="10"/>
        <w:keepNext w:val="0"/>
        <w:keepLines w:val="0"/>
        <w:pageBreakBefore w:val="0"/>
        <w:widowControl w:val="0"/>
        <w:numPr>
          <w:ilvl w:val="0"/>
          <w:numId w:val="6"/>
        </w:numPr>
        <w:shd w:val="clear" w:color="auto" w:fill="auto"/>
        <w:tabs>
          <w:tab w:val="left" w:pos="1214"/>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推进以审判为中心的诉讼制度改革典型调查研究</w:t>
      </w:r>
    </w:p>
    <w:p>
      <w:pPr>
        <w:pStyle w:val="10"/>
        <w:keepNext w:val="0"/>
        <w:keepLines w:val="0"/>
        <w:pageBreakBefore w:val="0"/>
        <w:widowControl w:val="0"/>
        <w:numPr>
          <w:ilvl w:val="0"/>
          <w:numId w:val="6"/>
        </w:numPr>
        <w:shd w:val="clear" w:color="auto" w:fill="auto"/>
        <w:tabs>
          <w:tab w:val="left" w:pos="1214"/>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我国网络空间法治实践调查研究</w:t>
      </w:r>
    </w:p>
    <w:p>
      <w:pPr>
        <w:pStyle w:val="10"/>
        <w:keepNext w:val="0"/>
        <w:keepLines w:val="0"/>
        <w:pageBreakBefore w:val="0"/>
        <w:widowControl w:val="0"/>
        <w:numPr>
          <w:ilvl w:val="0"/>
          <w:numId w:val="6"/>
        </w:numPr>
        <w:shd w:val="clear" w:color="auto" w:fill="auto"/>
        <w:tabs>
          <w:tab w:val="left" w:pos="1214"/>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《电子商务法》实施相关问题研究</w:t>
      </w:r>
    </w:p>
    <w:p>
      <w:pPr>
        <w:pStyle w:val="10"/>
        <w:keepNext w:val="0"/>
        <w:keepLines w:val="0"/>
        <w:pageBreakBefore w:val="0"/>
        <w:widowControl w:val="0"/>
        <w:numPr>
          <w:ilvl w:val="0"/>
          <w:numId w:val="6"/>
        </w:numPr>
        <w:shd w:val="clear" w:color="auto" w:fill="auto"/>
        <w:tabs>
          <w:tab w:val="left" w:pos="1214"/>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《网络安全法》实施相关问题研究</w:t>
      </w:r>
    </w:p>
    <w:p>
      <w:pPr>
        <w:pStyle w:val="10"/>
        <w:keepNext w:val="0"/>
        <w:keepLines w:val="0"/>
        <w:pageBreakBefore w:val="0"/>
        <w:widowControl w:val="0"/>
        <w:numPr>
          <w:ilvl w:val="0"/>
          <w:numId w:val="6"/>
        </w:numPr>
        <w:shd w:val="clear" w:color="auto" w:fill="auto"/>
        <w:tabs>
          <w:tab w:val="left" w:pos="1214"/>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基本法框架下的一国两制与国家统一相关法律问题研究</w:t>
      </w:r>
    </w:p>
    <w:p>
      <w:pPr>
        <w:pStyle w:val="10"/>
        <w:keepNext w:val="0"/>
        <w:keepLines w:val="0"/>
        <w:pageBreakBefore w:val="0"/>
        <w:widowControl w:val="0"/>
        <w:numPr>
          <w:ilvl w:val="0"/>
          <w:numId w:val="6"/>
        </w:numPr>
        <w:shd w:val="clear" w:color="auto" w:fill="auto"/>
        <w:tabs>
          <w:tab w:val="left" w:pos="1214"/>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全面从严治党与全面依法治国关系研究</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100" w:firstLine="0"/>
        <w:jc w:val="center"/>
        <w:textAlignment w:val="auto"/>
        <w:rPr>
          <w:rFonts w:hint="eastAsia" w:ascii="仿宋" w:hAnsi="仿宋" w:eastAsia="仿宋" w:cs="仿宋"/>
          <w:color w:val="000000"/>
          <w:w w:val="100"/>
          <w:position w:val="0"/>
          <w:lang w:val="zh-CN" w:eastAsia="zh-CN" w:bidi="zh-CN"/>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100" w:firstLine="0"/>
        <w:jc w:val="center"/>
        <w:textAlignment w:val="auto"/>
        <w:rPr>
          <w:rFonts w:hint="eastAsia" w:ascii="仿宋" w:hAnsi="仿宋" w:eastAsia="仿宋" w:cs="仿宋"/>
          <w:color w:val="000000"/>
          <w:w w:val="100"/>
          <w:position w:val="0"/>
          <w:lang w:val="zh-CN" w:eastAsia="zh-CN" w:bidi="zh-CN"/>
        </w:rPr>
      </w:pPr>
      <w:r>
        <w:rPr>
          <w:rFonts w:hint="eastAsia" w:ascii="仿宋" w:hAnsi="仿宋" w:eastAsia="仿宋" w:cs="仿宋"/>
          <w:color w:val="000000"/>
          <w:w w:val="100"/>
          <w:position w:val="0"/>
          <w:lang w:val="zh-CN" w:eastAsia="zh-CN" w:bidi="zh-CN"/>
        </w:rPr>
        <w:t>教育类</w:t>
      </w:r>
    </w:p>
    <w:p>
      <w:pPr>
        <w:pStyle w:val="10"/>
        <w:keepNext w:val="0"/>
        <w:keepLines w:val="0"/>
        <w:pageBreakBefore w:val="0"/>
        <w:widowControl w:val="0"/>
        <w:numPr>
          <w:ilvl w:val="0"/>
          <w:numId w:val="7"/>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全面建成小康社会、全面深化改革和我国教育的发展与改革</w:t>
      </w:r>
    </w:p>
    <w:p>
      <w:pPr>
        <w:pStyle w:val="10"/>
        <w:keepNext w:val="0"/>
        <w:keepLines w:val="0"/>
        <w:pageBreakBefore w:val="0"/>
        <w:widowControl w:val="0"/>
        <w:numPr>
          <w:ilvl w:val="0"/>
          <w:numId w:val="7"/>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创新型国家建设与教育体制改革与创新调查研究</w:t>
      </w:r>
    </w:p>
    <w:p>
      <w:pPr>
        <w:pStyle w:val="10"/>
        <w:keepNext w:val="0"/>
        <w:keepLines w:val="0"/>
        <w:pageBreakBefore w:val="0"/>
        <w:widowControl w:val="0"/>
        <w:numPr>
          <w:ilvl w:val="0"/>
          <w:numId w:val="7"/>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新时期我国职业技术教育发展创新的调查研究</w:t>
      </w:r>
    </w:p>
    <w:p>
      <w:pPr>
        <w:pStyle w:val="10"/>
        <w:keepNext w:val="0"/>
        <w:keepLines w:val="0"/>
        <w:pageBreakBefore w:val="0"/>
        <w:widowControl w:val="0"/>
        <w:numPr>
          <w:ilvl w:val="0"/>
          <w:numId w:val="7"/>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新世纪我国大学教育教学发展、创新和改革的典型调查研究</w:t>
      </w:r>
    </w:p>
    <w:p>
      <w:pPr>
        <w:pStyle w:val="10"/>
        <w:keepNext w:val="0"/>
        <w:keepLines w:val="0"/>
        <w:pageBreakBefore w:val="0"/>
        <w:widowControl w:val="0"/>
        <w:numPr>
          <w:ilvl w:val="0"/>
          <w:numId w:val="7"/>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各地解决中小学应试教育现象的举措和经验调查研究</w:t>
      </w:r>
    </w:p>
    <w:p>
      <w:pPr>
        <w:pStyle w:val="10"/>
        <w:keepNext w:val="0"/>
        <w:keepLines w:val="0"/>
        <w:pageBreakBefore w:val="0"/>
        <w:widowControl w:val="0"/>
        <w:numPr>
          <w:ilvl w:val="0"/>
          <w:numId w:val="7"/>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培养学生创新精神、创业本领和实践能力教学改革的典型调查</w:t>
      </w:r>
    </w:p>
    <w:p>
      <w:pPr>
        <w:pStyle w:val="10"/>
        <w:keepNext w:val="0"/>
        <w:keepLines w:val="0"/>
        <w:pageBreakBefore w:val="0"/>
        <w:widowControl w:val="0"/>
        <w:numPr>
          <w:ilvl w:val="0"/>
          <w:numId w:val="7"/>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学校提高学生审美和人文素质的改革与创新调查研究</w:t>
      </w:r>
    </w:p>
    <w:p>
      <w:pPr>
        <w:pStyle w:val="10"/>
        <w:keepNext w:val="0"/>
        <w:keepLines w:val="0"/>
        <w:pageBreakBefore w:val="0"/>
        <w:widowControl w:val="0"/>
        <w:numPr>
          <w:ilvl w:val="0"/>
          <w:numId w:val="7"/>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当代大学生价值取向和心理素质的调查分析</w:t>
      </w:r>
    </w:p>
    <w:p>
      <w:pPr>
        <w:pStyle w:val="10"/>
        <w:keepNext w:val="0"/>
        <w:keepLines w:val="0"/>
        <w:pageBreakBefore w:val="0"/>
        <w:widowControl w:val="0"/>
        <w:numPr>
          <w:ilvl w:val="0"/>
          <w:numId w:val="7"/>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中小学加强和创新社会主义价值观培育的典型调查</w:t>
      </w:r>
    </w:p>
    <w:p>
      <w:pPr>
        <w:pStyle w:val="10"/>
        <w:keepNext w:val="0"/>
        <w:keepLines w:val="0"/>
        <w:pageBreakBefore w:val="0"/>
        <w:widowControl w:val="0"/>
        <w:numPr>
          <w:ilvl w:val="0"/>
          <w:numId w:val="7"/>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各类学校强化体育课和课外锻炼，促进学生身心健康的做法和经验调查研究</w:t>
      </w:r>
    </w:p>
    <w:p>
      <w:pPr>
        <w:pStyle w:val="10"/>
        <w:keepNext w:val="0"/>
        <w:keepLines w:val="0"/>
        <w:pageBreakBefore w:val="0"/>
        <w:widowControl w:val="0"/>
        <w:numPr>
          <w:ilvl w:val="0"/>
          <w:numId w:val="7"/>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各类学校完善中华优秀传统文化教育的实践和经验调查研究</w:t>
      </w:r>
    </w:p>
    <w:p>
      <w:pPr>
        <w:pStyle w:val="10"/>
        <w:keepNext w:val="0"/>
        <w:keepLines w:val="0"/>
        <w:pageBreakBefore w:val="0"/>
        <w:widowControl w:val="0"/>
        <w:numPr>
          <w:ilvl w:val="0"/>
          <w:numId w:val="7"/>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各地逐步缩小区域、城乡、校际教育资源差距的举措和经验调查研究</w:t>
      </w:r>
    </w:p>
    <w:p>
      <w:pPr>
        <w:pStyle w:val="10"/>
        <w:keepNext w:val="0"/>
        <w:keepLines w:val="0"/>
        <w:pageBreakBefore w:val="0"/>
        <w:widowControl w:val="0"/>
        <w:numPr>
          <w:ilvl w:val="0"/>
          <w:numId w:val="7"/>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国家推进少数民族地区教育发展的举措和成就调查研究</w:t>
      </w:r>
    </w:p>
    <w:p>
      <w:pPr>
        <w:pStyle w:val="10"/>
        <w:keepNext w:val="0"/>
        <w:keepLines w:val="0"/>
        <w:pageBreakBefore w:val="0"/>
        <w:widowControl w:val="0"/>
        <w:numPr>
          <w:ilvl w:val="0"/>
          <w:numId w:val="7"/>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中外学校间学生交流活动的调查研究</w:t>
      </w:r>
    </w:p>
    <w:p>
      <w:pPr>
        <w:pStyle w:val="10"/>
        <w:keepNext w:val="0"/>
        <w:keepLines w:val="0"/>
        <w:pageBreakBefore w:val="0"/>
        <w:widowControl w:val="0"/>
        <w:numPr>
          <w:ilvl w:val="0"/>
          <w:numId w:val="7"/>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建设学习型社会、完善终身教育实践的调查研究</w:t>
      </w:r>
    </w:p>
    <w:p>
      <w:pPr>
        <w:pStyle w:val="10"/>
        <w:keepNext w:val="0"/>
        <w:keepLines w:val="0"/>
        <w:pageBreakBefore w:val="0"/>
        <w:widowControl w:val="0"/>
        <w:numPr>
          <w:ilvl w:val="0"/>
          <w:numId w:val="7"/>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大学生自主创业案例研究</w:t>
      </w:r>
    </w:p>
    <w:p>
      <w:pPr>
        <w:pStyle w:val="10"/>
        <w:keepNext w:val="0"/>
        <w:keepLines w:val="0"/>
        <w:pageBreakBefore w:val="0"/>
        <w:widowControl w:val="0"/>
        <w:numPr>
          <w:ilvl w:val="0"/>
          <w:numId w:val="7"/>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互联网、大数据等新技术的教学应用的调查研究</w:t>
      </w:r>
    </w:p>
    <w:p>
      <w:pPr>
        <w:pStyle w:val="10"/>
        <w:keepNext w:val="0"/>
        <w:keepLines w:val="0"/>
        <w:pageBreakBefore w:val="0"/>
        <w:widowControl w:val="0"/>
        <w:numPr>
          <w:ilvl w:val="0"/>
          <w:numId w:val="7"/>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校园文化、学生社团的调查研究</w:t>
      </w:r>
    </w:p>
    <w:p>
      <w:pPr>
        <w:pStyle w:val="10"/>
        <w:keepNext w:val="0"/>
        <w:keepLines w:val="0"/>
        <w:pageBreakBefore w:val="0"/>
        <w:widowControl w:val="0"/>
        <w:numPr>
          <w:ilvl w:val="0"/>
          <w:numId w:val="7"/>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高校思想政治工作及思政课创新实践的经验调查研究</w:t>
      </w:r>
    </w:p>
    <w:p>
      <w:pPr>
        <w:pStyle w:val="10"/>
        <w:keepNext w:val="0"/>
        <w:keepLines w:val="0"/>
        <w:pageBreakBefore w:val="0"/>
        <w:widowControl w:val="0"/>
        <w:numPr>
          <w:ilvl w:val="0"/>
          <w:numId w:val="0"/>
        </w:numPr>
        <w:shd w:val="clear" w:color="auto" w:fill="auto"/>
        <w:tabs>
          <w:tab w:val="left" w:pos="1205"/>
        </w:tabs>
        <w:kinsoku/>
        <w:wordWrap/>
        <w:overflowPunct/>
        <w:topLinePunct w:val="0"/>
        <w:autoSpaceDE/>
        <w:autoSpaceDN/>
        <w:bidi w:val="0"/>
        <w:adjustRightInd/>
        <w:snapToGrid/>
        <w:spacing w:before="0" w:after="0" w:line="360" w:lineRule="auto"/>
        <w:ind w:right="0" w:rightChars="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200" w:right="0" w:firstLine="0"/>
        <w:jc w:val="center"/>
        <w:textAlignment w:val="auto"/>
        <w:rPr>
          <w:rFonts w:hint="eastAsia" w:ascii="仿宋" w:hAnsi="仿宋" w:eastAsia="仿宋" w:cs="仿宋"/>
          <w:color w:val="000000"/>
          <w:w w:val="100"/>
          <w:position w:val="0"/>
          <w:lang w:val="zh-CN" w:eastAsia="zh-CN" w:bidi="zh-CN"/>
        </w:rPr>
      </w:pPr>
      <w:r>
        <w:rPr>
          <w:rFonts w:hint="eastAsia" w:ascii="仿宋" w:hAnsi="仿宋" w:eastAsia="仿宋" w:cs="仿宋"/>
          <w:color w:val="000000"/>
          <w:w w:val="100"/>
          <w:position w:val="0"/>
          <w:lang w:val="zh-CN" w:eastAsia="zh-CN" w:bidi="zh-CN"/>
        </w:rPr>
        <w:t>管理类</w:t>
      </w:r>
    </w:p>
    <w:p>
      <w:pPr>
        <w:pStyle w:val="10"/>
        <w:keepNext w:val="0"/>
        <w:keepLines w:val="0"/>
        <w:pageBreakBefore w:val="0"/>
        <w:widowControl w:val="0"/>
        <w:numPr>
          <w:ilvl w:val="0"/>
          <w:numId w:val="8"/>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在全面深化改革中政府转型、行政改革和法治政府建设的典型调查</w:t>
      </w:r>
    </w:p>
    <w:p>
      <w:pPr>
        <w:pStyle w:val="10"/>
        <w:keepNext w:val="0"/>
        <w:keepLines w:val="0"/>
        <w:pageBreakBefore w:val="0"/>
        <w:widowControl w:val="0"/>
        <w:numPr>
          <w:ilvl w:val="0"/>
          <w:numId w:val="8"/>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电子政务建设现状和问题的调查分析</w:t>
      </w:r>
    </w:p>
    <w:p>
      <w:pPr>
        <w:pStyle w:val="10"/>
        <w:keepNext w:val="0"/>
        <w:keepLines w:val="0"/>
        <w:pageBreakBefore w:val="0"/>
        <w:widowControl w:val="0"/>
        <w:numPr>
          <w:ilvl w:val="0"/>
          <w:numId w:val="8"/>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电子商务在全面深化改革中发展创新的典型调查研究</w:t>
      </w:r>
    </w:p>
    <w:p>
      <w:pPr>
        <w:pStyle w:val="10"/>
        <w:keepNext w:val="0"/>
        <w:keepLines w:val="0"/>
        <w:pageBreakBefore w:val="0"/>
        <w:widowControl w:val="0"/>
        <w:numPr>
          <w:ilvl w:val="0"/>
          <w:numId w:val="8"/>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新型科技企业管理和服务创新的调查研究</w:t>
      </w:r>
    </w:p>
    <w:p>
      <w:pPr>
        <w:pStyle w:val="10"/>
        <w:keepNext w:val="0"/>
        <w:keepLines w:val="0"/>
        <w:pageBreakBefore w:val="0"/>
        <w:widowControl w:val="0"/>
        <w:numPr>
          <w:ilvl w:val="0"/>
          <w:numId w:val="8"/>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社区物业管理体制和模式的典型调查</w:t>
      </w:r>
    </w:p>
    <w:p>
      <w:pPr>
        <w:pStyle w:val="10"/>
        <w:keepNext w:val="0"/>
        <w:keepLines w:val="0"/>
        <w:pageBreakBefore w:val="0"/>
        <w:widowControl w:val="0"/>
        <w:numPr>
          <w:ilvl w:val="0"/>
          <w:numId w:val="8"/>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大型零售企业物流系统发展调查</w:t>
      </w:r>
    </w:p>
    <w:p>
      <w:pPr>
        <w:pStyle w:val="10"/>
        <w:keepNext w:val="0"/>
        <w:keepLines w:val="0"/>
        <w:pageBreakBefore w:val="0"/>
        <w:widowControl w:val="0"/>
        <w:numPr>
          <w:ilvl w:val="0"/>
          <w:numId w:val="8"/>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企业经营管理数字化、智能化、网络化的调查研究</w:t>
      </w:r>
    </w:p>
    <w:p>
      <w:pPr>
        <w:pStyle w:val="10"/>
        <w:keepNext w:val="0"/>
        <w:keepLines w:val="0"/>
        <w:pageBreakBefore w:val="0"/>
        <w:widowControl w:val="0"/>
        <w:numPr>
          <w:ilvl w:val="0"/>
          <w:numId w:val="8"/>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我国企业家队伍成长发展的调查分析</w:t>
      </w:r>
    </w:p>
    <w:p>
      <w:pPr>
        <w:pStyle w:val="10"/>
        <w:keepNext w:val="0"/>
        <w:keepLines w:val="0"/>
        <w:pageBreakBefore w:val="0"/>
        <w:widowControl w:val="0"/>
        <w:numPr>
          <w:ilvl w:val="0"/>
          <w:numId w:val="8"/>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资源、环境、生态保护和管理体制问题调查研究</w:t>
      </w:r>
    </w:p>
    <w:p>
      <w:pPr>
        <w:pStyle w:val="10"/>
        <w:keepNext w:val="0"/>
        <w:keepLines w:val="0"/>
        <w:pageBreakBefore w:val="0"/>
        <w:widowControl w:val="0"/>
        <w:numPr>
          <w:ilvl w:val="0"/>
          <w:numId w:val="8"/>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企业在创新转型升级中崛起和发展的典型调查</w:t>
      </w:r>
    </w:p>
    <w:p>
      <w:pPr>
        <w:pStyle w:val="10"/>
        <w:keepNext w:val="0"/>
        <w:keepLines w:val="0"/>
        <w:pageBreakBefore w:val="0"/>
        <w:widowControl w:val="0"/>
        <w:numPr>
          <w:ilvl w:val="0"/>
          <w:numId w:val="8"/>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中国特色企业管理模式创新调查研究</w:t>
      </w:r>
    </w:p>
    <w:p>
      <w:pPr>
        <w:pStyle w:val="10"/>
        <w:keepNext w:val="0"/>
        <w:keepLines w:val="0"/>
        <w:pageBreakBefore w:val="0"/>
        <w:widowControl w:val="0"/>
        <w:numPr>
          <w:ilvl w:val="0"/>
          <w:numId w:val="8"/>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工矿企业安全生产监管体制和状况调查研究</w:t>
      </w:r>
    </w:p>
    <w:p>
      <w:pPr>
        <w:pStyle w:val="10"/>
        <w:keepNext w:val="0"/>
        <w:keepLines w:val="0"/>
        <w:pageBreakBefore w:val="0"/>
        <w:widowControl w:val="0"/>
        <w:numPr>
          <w:ilvl w:val="0"/>
          <w:numId w:val="8"/>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新世纪我国商会（企业和企业家协会）建设新进展、新作用调查研究</w:t>
      </w:r>
    </w:p>
    <w:p>
      <w:pPr>
        <w:pStyle w:val="10"/>
        <w:keepNext w:val="0"/>
        <w:keepLines w:val="0"/>
        <w:pageBreakBefore w:val="0"/>
        <w:widowControl w:val="0"/>
        <w:numPr>
          <w:ilvl w:val="0"/>
          <w:numId w:val="8"/>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基层政府行政管理体制改革创新的典型调查研究</w:t>
      </w:r>
    </w:p>
    <w:p>
      <w:pPr>
        <w:pStyle w:val="10"/>
        <w:keepNext w:val="0"/>
        <w:keepLines w:val="0"/>
        <w:pageBreakBefore w:val="0"/>
        <w:widowControl w:val="0"/>
        <w:numPr>
          <w:ilvl w:val="0"/>
          <w:numId w:val="8"/>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政府提供公共服务与购买公共服务改革的典型调查研究</w:t>
      </w:r>
    </w:p>
    <w:p>
      <w:pPr>
        <w:pStyle w:val="10"/>
        <w:keepNext w:val="0"/>
        <w:keepLines w:val="0"/>
        <w:pageBreakBefore w:val="0"/>
        <w:widowControl w:val="0"/>
        <w:numPr>
          <w:ilvl w:val="0"/>
          <w:numId w:val="8"/>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便民快捷健全的社会保障服务体系建设的调查研究</w:t>
      </w:r>
    </w:p>
    <w:p>
      <w:pPr>
        <w:pStyle w:val="10"/>
        <w:keepNext w:val="0"/>
        <w:keepLines w:val="0"/>
        <w:pageBreakBefore w:val="0"/>
        <w:widowControl w:val="0"/>
        <w:numPr>
          <w:ilvl w:val="0"/>
          <w:numId w:val="8"/>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各地建立和完善中小微企业服务体系实践和经验的调查研究</w:t>
      </w:r>
    </w:p>
    <w:p>
      <w:pPr>
        <w:pStyle w:val="10"/>
        <w:keepNext w:val="0"/>
        <w:keepLines w:val="0"/>
        <w:pageBreakBefore w:val="0"/>
        <w:widowControl w:val="0"/>
        <w:numPr>
          <w:ilvl w:val="0"/>
          <w:numId w:val="8"/>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基层政府推进政务公开、信息公开的调查研究</w:t>
      </w:r>
    </w:p>
    <w:p>
      <w:pPr>
        <w:pStyle w:val="10"/>
        <w:keepNext w:val="0"/>
        <w:keepLines w:val="0"/>
        <w:pageBreakBefore w:val="0"/>
        <w:widowControl w:val="0"/>
        <w:numPr>
          <w:ilvl w:val="0"/>
          <w:numId w:val="8"/>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在进一步简政放权改革中基层政府管理和服务体制机制改革创新的调查研究</w:t>
      </w:r>
    </w:p>
    <w:p>
      <w:pPr>
        <w:pStyle w:val="10"/>
        <w:keepNext w:val="0"/>
        <w:keepLines w:val="0"/>
        <w:pageBreakBefore w:val="0"/>
        <w:widowControl w:val="0"/>
        <w:numPr>
          <w:ilvl w:val="0"/>
          <w:numId w:val="8"/>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县乡政府管理成本降低状况及存在问题的调查研究</w:t>
      </w:r>
    </w:p>
    <w:p>
      <w:pPr>
        <w:pStyle w:val="10"/>
        <w:keepNext w:val="0"/>
        <w:keepLines w:val="0"/>
        <w:pageBreakBefore w:val="0"/>
        <w:widowControl w:val="0"/>
        <w:numPr>
          <w:ilvl w:val="0"/>
          <w:numId w:val="8"/>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（企业、政府、城市）“智能+’’管理创新的调查研究</w:t>
      </w:r>
    </w:p>
    <w:p>
      <w:pPr>
        <w:pStyle w:val="10"/>
        <w:keepNext w:val="0"/>
        <w:keepLines w:val="0"/>
        <w:pageBreakBefore w:val="0"/>
        <w:widowControl w:val="0"/>
        <w:numPr>
          <w:ilvl w:val="0"/>
          <w:numId w:val="8"/>
        </w:numPr>
        <w:shd w:val="clear" w:color="auto" w:fill="auto"/>
        <w:tabs>
          <w:tab w:val="left" w:pos="1205"/>
        </w:tabs>
        <w:kinsoku/>
        <w:wordWrap/>
        <w:overflowPunct/>
        <w:topLinePunct w:val="0"/>
        <w:autoSpaceDE/>
        <w:autoSpaceDN/>
        <w:bidi w:val="0"/>
        <w:adjustRightInd/>
        <w:snapToGrid/>
        <w:spacing w:before="0" w:after="0" w:line="360" w:lineRule="auto"/>
        <w:ind w:right="0" w:rightChars="0" w:firstLine="640" w:firstLineChars="200"/>
        <w:jc w:val="left"/>
        <w:textAlignment w:val="auto"/>
        <w:rPr>
          <w:rFonts w:hint="eastAsia" w:ascii="仿宋_GB2312" w:hAnsi="Times New Roman" w:eastAsia="仿宋_GB2312" w:cs="Times New Roman"/>
          <w:color w:val="000000"/>
          <w:spacing w:val="0"/>
          <w:w w:val="100"/>
          <w:position w:val="0"/>
          <w:sz w:val="32"/>
          <w:szCs w:val="24"/>
          <w:u w:val="none"/>
          <w:lang w:val="zh-CN" w:eastAsia="zh-CN" w:bidi="zh-CN"/>
        </w:rPr>
      </w:pPr>
      <w:r>
        <w:rPr>
          <w:rFonts w:hint="eastAsia" w:ascii="仿宋_GB2312" w:hAnsi="Times New Roman" w:eastAsia="仿宋_GB2312" w:cs="Times New Roman"/>
          <w:color w:val="000000"/>
          <w:spacing w:val="0"/>
          <w:w w:val="100"/>
          <w:position w:val="0"/>
          <w:sz w:val="32"/>
          <w:szCs w:val="24"/>
          <w:u w:val="none"/>
          <w:lang w:val="zh-CN" w:eastAsia="zh-CN" w:bidi="zh-CN"/>
        </w:rPr>
        <w:t>智慧医疗发展的典型调查</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rPr>
          <w:rFonts w:hint="eastAsia" w:ascii="仿宋" w:hAnsi="仿宋" w:eastAsia="仿宋" w:cs="仿宋"/>
          <w:color w:val="0000FF"/>
          <w:w w:val="100"/>
          <w:position w:val="0"/>
          <w:lang w:val="zh-CN" w:eastAsia="zh-CN" w:bidi="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rPr>
        <w:sz w:val="2"/>
        <w:szCs w:val="2"/>
      </w:rPr>
    </w:pPr>
    <w:r>
      <mc:AlternateContent>
        <mc:Choice Requires="wps">
          <w:drawing>
            <wp:anchor distT="0" distB="0" distL="114300" distR="114300" simplePos="0" relativeHeight="314571776" behindDoc="1" locked="0" layoutInCell="1" allowOverlap="1">
              <wp:simplePos x="0" y="0"/>
              <wp:positionH relativeFrom="page">
                <wp:posOffset>3444875</wp:posOffset>
              </wp:positionH>
              <wp:positionV relativeFrom="page">
                <wp:posOffset>9727565</wp:posOffset>
              </wp:positionV>
              <wp:extent cx="283210" cy="914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83210" cy="91440"/>
                      </a:xfrm>
                      <a:prstGeom prst="rect">
                        <a:avLst/>
                      </a:prstGeom>
                      <a:noFill/>
                      <a:ln>
                        <a:noFill/>
                      </a:ln>
                    </wps:spPr>
                    <wps:txbx>
                      <w:txbxContent>
                        <w:p>
                          <w:pPr>
                            <w:pStyle w:val="25"/>
                            <w:keepNext w:val="0"/>
                            <w:keepLines w:val="0"/>
                            <w:widowControl w:val="0"/>
                            <w:shd w:val="clear" w:color="auto" w:fill="auto"/>
                            <w:bidi w:val="0"/>
                            <w:spacing w:before="0" w:after="0" w:line="240" w:lineRule="auto"/>
                            <w:ind w:left="0" w:right="0" w:firstLine="0"/>
                            <w:jc w:val="left"/>
                          </w:pPr>
                          <w:r>
                            <w:rPr>
                              <w:rStyle w:val="26"/>
                              <w:b/>
                              <w:bCs/>
                              <w:i w:val="0"/>
                              <w:iCs w:val="0"/>
                              <w:smallCaps w:val="0"/>
                              <w:strike w:val="0"/>
                            </w:rPr>
                            <w:t>-</w:t>
                          </w:r>
                          <w:r>
                            <w:fldChar w:fldCharType="begin"/>
                          </w:r>
                          <w:r>
                            <w:instrText xml:space="preserve"> PAGE \* MERGEFORMAT </w:instrText>
                          </w:r>
                          <w:r>
                            <w:fldChar w:fldCharType="separate"/>
                          </w:r>
                          <w:r>
                            <w:rPr>
                              <w:rStyle w:val="26"/>
                              <w:b/>
                              <w:bCs/>
                              <w:i w:val="0"/>
                              <w:iCs w:val="0"/>
                              <w:smallCaps w:val="0"/>
                              <w:strike w:val="0"/>
                            </w:rPr>
                            <w:t>#</w:t>
                          </w:r>
                          <w:r>
                            <w:rPr>
                              <w:rStyle w:val="26"/>
                              <w:b/>
                              <w:bCs/>
                              <w:i w:val="0"/>
                              <w:iCs w:val="0"/>
                              <w:smallCaps w:val="0"/>
                              <w:strike w:val="0"/>
                            </w:rPr>
                            <w:fldChar w:fldCharType="end"/>
                          </w:r>
                          <w:r>
                            <w:rPr>
                              <w:rStyle w:val="28"/>
                              <w:b w:val="0"/>
                              <w:bCs w:val="0"/>
                              <w:i w:val="0"/>
                              <w:iCs w:val="0"/>
                              <w:smallCaps w:val="0"/>
                              <w:strike w:val="0"/>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left:271.25pt;margin-top:765.95pt;height:7.2pt;width:22.3pt;mso-position-horizontal-relative:page;mso-position-vertical-relative:page;mso-wrap-style:none;z-index:-188744704;mso-width-relative:page;mso-height-relative:page;" filled="f" stroked="f" coordsize="21600,21600" o:gfxdata="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E1aKdkAAAANAQAADwAAAAAAAAABACAAAAAiAAAAZHJzL2Rvd25yZXYueG1sUEsBAhQAFAAAAAgA&#10;h07iQMFWCUWyAQAASAMAAA4AAAAAAAAAAQAgAAAAKAEAAGRycy9lMm9Eb2MueG1sUEsFBgAAAAAG&#10;AAYAWQEAAEwFAAAAAA==&#10;">
              <v:fill on="f" focussize="0,0"/>
              <v:stroke on="f"/>
              <v:imagedata o:title=""/>
              <o:lock v:ext="edit" aspectratio="f"/>
              <v:textbox inset="0mm,0mm,0mm,0mm" style="mso-fit-shape-to-text:t;">
                <w:txbxContent>
                  <w:p>
                    <w:pPr>
                      <w:pStyle w:val="25"/>
                      <w:keepNext w:val="0"/>
                      <w:keepLines w:val="0"/>
                      <w:widowControl w:val="0"/>
                      <w:shd w:val="clear" w:color="auto" w:fill="auto"/>
                      <w:bidi w:val="0"/>
                      <w:spacing w:before="0" w:after="0" w:line="240" w:lineRule="auto"/>
                      <w:ind w:left="0" w:right="0" w:firstLine="0"/>
                      <w:jc w:val="left"/>
                    </w:pPr>
                    <w:r>
                      <w:rPr>
                        <w:rStyle w:val="26"/>
                        <w:b/>
                        <w:bCs/>
                        <w:i w:val="0"/>
                        <w:iCs w:val="0"/>
                        <w:smallCaps w:val="0"/>
                        <w:strike w:val="0"/>
                      </w:rPr>
                      <w:t>-</w:t>
                    </w:r>
                    <w:r>
                      <w:fldChar w:fldCharType="begin"/>
                    </w:r>
                    <w:r>
                      <w:instrText xml:space="preserve"> PAGE \* MERGEFORMAT </w:instrText>
                    </w:r>
                    <w:r>
                      <w:fldChar w:fldCharType="separate"/>
                    </w:r>
                    <w:r>
                      <w:rPr>
                        <w:rStyle w:val="26"/>
                        <w:b/>
                        <w:bCs/>
                        <w:i w:val="0"/>
                        <w:iCs w:val="0"/>
                        <w:smallCaps w:val="0"/>
                        <w:strike w:val="0"/>
                      </w:rPr>
                      <w:t>#</w:t>
                    </w:r>
                    <w:r>
                      <w:rPr>
                        <w:rStyle w:val="26"/>
                        <w:b/>
                        <w:bCs/>
                        <w:i w:val="0"/>
                        <w:iCs w:val="0"/>
                        <w:smallCaps w:val="0"/>
                        <w:strike w:val="0"/>
                      </w:rPr>
                      <w:fldChar w:fldCharType="end"/>
                    </w:r>
                    <w:r>
                      <w:rPr>
                        <w:rStyle w:val="28"/>
                        <w:b w:val="0"/>
                        <w:bCs w:val="0"/>
                        <w:i w:val="0"/>
                        <w:iCs w:val="0"/>
                        <w:smallCaps w:val="0"/>
                        <w:strike w:val="0"/>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AC18BC"/>
    <w:multiLevelType w:val="singleLevel"/>
    <w:tmpl w:val="BBAC18BC"/>
    <w:lvl w:ilvl="0" w:tentative="0">
      <w:start w:val="1"/>
      <w:numFmt w:val="decimal"/>
      <w:suff w:val="space"/>
      <w:lvlText w:val="%1."/>
      <w:lvlJc w:val="left"/>
    </w:lvl>
  </w:abstractNum>
  <w:abstractNum w:abstractNumId="1">
    <w:nsid w:val="C64E433E"/>
    <w:multiLevelType w:val="singleLevel"/>
    <w:tmpl w:val="C64E433E"/>
    <w:lvl w:ilvl="0" w:tentative="0">
      <w:start w:val="2"/>
      <w:numFmt w:val="decimal"/>
      <w:lvlText w:val="%1."/>
      <w:lvlJc w:val="left"/>
      <w:pPr>
        <w:tabs>
          <w:tab w:val="left" w:pos="312"/>
        </w:tabs>
        <w:ind w:left="1600" w:leftChars="0" w:firstLine="0" w:firstLineChars="0"/>
      </w:pPr>
    </w:lvl>
  </w:abstractNum>
  <w:abstractNum w:abstractNumId="2">
    <w:nsid w:val="D582DE2B"/>
    <w:multiLevelType w:val="singleLevel"/>
    <w:tmpl w:val="D582DE2B"/>
    <w:lvl w:ilvl="0" w:tentative="0">
      <w:start w:val="1"/>
      <w:numFmt w:val="decimal"/>
      <w:suff w:val="space"/>
      <w:lvlText w:val="%1."/>
      <w:lvlJc w:val="left"/>
    </w:lvl>
  </w:abstractNum>
  <w:abstractNum w:abstractNumId="3">
    <w:nsid w:val="F0494A1E"/>
    <w:multiLevelType w:val="singleLevel"/>
    <w:tmpl w:val="F0494A1E"/>
    <w:lvl w:ilvl="0" w:tentative="0">
      <w:start w:val="1"/>
      <w:numFmt w:val="decimal"/>
      <w:suff w:val="space"/>
      <w:lvlText w:val="%1."/>
      <w:lvlJc w:val="left"/>
    </w:lvl>
  </w:abstractNum>
  <w:abstractNum w:abstractNumId="4">
    <w:nsid w:val="1C218143"/>
    <w:multiLevelType w:val="singleLevel"/>
    <w:tmpl w:val="1C218143"/>
    <w:lvl w:ilvl="0" w:tentative="0">
      <w:start w:val="1"/>
      <w:numFmt w:val="decimal"/>
      <w:suff w:val="space"/>
      <w:lvlText w:val="%1."/>
      <w:lvlJc w:val="left"/>
    </w:lvl>
  </w:abstractNum>
  <w:abstractNum w:abstractNumId="5">
    <w:nsid w:val="32D6E183"/>
    <w:multiLevelType w:val="singleLevel"/>
    <w:tmpl w:val="32D6E183"/>
    <w:lvl w:ilvl="0" w:tentative="0">
      <w:start w:val="1"/>
      <w:numFmt w:val="decimal"/>
      <w:suff w:val="space"/>
      <w:lvlText w:val="%1."/>
      <w:lvlJc w:val="left"/>
    </w:lvl>
  </w:abstractNum>
  <w:abstractNum w:abstractNumId="6">
    <w:nsid w:val="480D8FEF"/>
    <w:multiLevelType w:val="singleLevel"/>
    <w:tmpl w:val="480D8FEF"/>
    <w:lvl w:ilvl="0" w:tentative="0">
      <w:start w:val="1"/>
      <w:numFmt w:val="decimal"/>
      <w:lvlText w:val="%1."/>
      <w:lvlJc w:val="left"/>
      <w:pPr>
        <w:tabs>
          <w:tab w:val="left" w:pos="312"/>
        </w:tabs>
      </w:pPr>
    </w:lvl>
  </w:abstractNum>
  <w:abstractNum w:abstractNumId="7">
    <w:nsid w:val="4C283394"/>
    <w:multiLevelType w:val="singleLevel"/>
    <w:tmpl w:val="4C283394"/>
    <w:lvl w:ilvl="0" w:tentative="0">
      <w:start w:val="1"/>
      <w:numFmt w:val="decimal"/>
      <w:suff w:val="space"/>
      <w:lvlText w:val="%1."/>
      <w:lvlJc w:val="left"/>
    </w:lvl>
  </w:abstractNum>
  <w:num w:numId="1">
    <w:abstractNumId w:val="1"/>
  </w:num>
  <w:num w:numId="2">
    <w:abstractNumId w:val="6"/>
  </w:num>
  <w:num w:numId="3">
    <w:abstractNumId w:val="2"/>
  </w:num>
  <w:num w:numId="4">
    <w:abstractNumId w:val="4"/>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D45D2"/>
    <w:rsid w:val="01AA65F1"/>
    <w:rsid w:val="02FB1AD1"/>
    <w:rsid w:val="0CED5674"/>
    <w:rsid w:val="11FD0AF1"/>
    <w:rsid w:val="125C3452"/>
    <w:rsid w:val="18126C75"/>
    <w:rsid w:val="26AE1E87"/>
    <w:rsid w:val="28CD0759"/>
    <w:rsid w:val="2C19143F"/>
    <w:rsid w:val="33B602CB"/>
    <w:rsid w:val="361D45D2"/>
    <w:rsid w:val="3E026724"/>
    <w:rsid w:val="41521AC2"/>
    <w:rsid w:val="449B2750"/>
    <w:rsid w:val="467F5BA1"/>
    <w:rsid w:val="494116C9"/>
    <w:rsid w:val="4BDA1640"/>
    <w:rsid w:val="5F875031"/>
    <w:rsid w:val="602A73E1"/>
    <w:rsid w:val="62270948"/>
    <w:rsid w:val="68D51AEC"/>
    <w:rsid w:val="6C7D4CF9"/>
    <w:rsid w:val="704236EA"/>
    <w:rsid w:val="74251E4B"/>
    <w:rsid w:val="78551C3B"/>
    <w:rsid w:val="7AA133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lang w:val="zh-CN" w:eastAsia="zh-CN" w:bidi="zh-CN"/>
    </w:rPr>
  </w:style>
  <w:style w:type="paragraph" w:styleId="2">
    <w:name w:val="heading 1"/>
    <w:basedOn w:val="1"/>
    <w:next w:val="1"/>
    <w:link w:val="29"/>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unhideWhenUsed/>
    <w:qFormat/>
    <w:uiPriority w:val="99"/>
  </w:style>
  <w:style w:type="character" w:styleId="9">
    <w:name w:val="Hyperlink"/>
    <w:basedOn w:val="7"/>
    <w:qFormat/>
    <w:uiPriority w:val="0"/>
    <w:rPr>
      <w:color w:val="0000FF"/>
      <w:u w:val="single"/>
    </w:rPr>
  </w:style>
  <w:style w:type="paragraph" w:customStyle="1" w:styleId="10">
    <w:name w:val="Body text|2"/>
    <w:basedOn w:val="1"/>
    <w:link w:val="16"/>
    <w:qFormat/>
    <w:uiPriority w:val="0"/>
    <w:pPr>
      <w:widowControl w:val="0"/>
      <w:shd w:val="clear" w:color="auto" w:fill="FFFFFF"/>
      <w:spacing w:before="500" w:line="518" w:lineRule="exact"/>
    </w:pPr>
    <w:rPr>
      <w:rFonts w:ascii="PMingLiU" w:hAnsi="PMingLiU" w:eastAsia="PMingLiU" w:cs="PMingLiU"/>
      <w:spacing w:val="30"/>
      <w:sz w:val="30"/>
      <w:szCs w:val="30"/>
      <w:u w:val="none"/>
    </w:rPr>
  </w:style>
  <w:style w:type="paragraph" w:customStyle="1" w:styleId="11">
    <w:name w:val="Body text|3"/>
    <w:basedOn w:val="1"/>
    <w:link w:val="13"/>
    <w:qFormat/>
    <w:uiPriority w:val="0"/>
    <w:pPr>
      <w:widowControl w:val="0"/>
      <w:shd w:val="clear" w:color="auto" w:fill="FFFFFF"/>
      <w:spacing w:line="518" w:lineRule="exact"/>
      <w:jc w:val="distribute"/>
    </w:pPr>
    <w:rPr>
      <w:rFonts w:ascii="PMingLiU" w:hAnsi="PMingLiU" w:eastAsia="PMingLiU" w:cs="PMingLiU"/>
      <w:b/>
      <w:bCs/>
      <w:spacing w:val="20"/>
      <w:sz w:val="30"/>
      <w:szCs w:val="30"/>
      <w:u w:val="none"/>
    </w:rPr>
  </w:style>
  <w:style w:type="character" w:customStyle="1" w:styleId="12">
    <w:name w:val="Body text|3 + 6 pt"/>
    <w:basedOn w:val="13"/>
    <w:semiHidden/>
    <w:unhideWhenUsed/>
    <w:qFormat/>
    <w:uiPriority w:val="0"/>
    <w:rPr>
      <w:color w:val="000000"/>
      <w:spacing w:val="10"/>
      <w:w w:val="100"/>
      <w:position w:val="0"/>
      <w:sz w:val="12"/>
      <w:szCs w:val="12"/>
      <w:lang w:val="zh-CN" w:eastAsia="zh-CN" w:bidi="zh-CN"/>
    </w:rPr>
  </w:style>
  <w:style w:type="character" w:customStyle="1" w:styleId="13">
    <w:name w:val="Body text|3_"/>
    <w:basedOn w:val="7"/>
    <w:link w:val="11"/>
    <w:qFormat/>
    <w:uiPriority w:val="0"/>
    <w:rPr>
      <w:rFonts w:ascii="PMingLiU" w:hAnsi="PMingLiU" w:eastAsia="PMingLiU" w:cs="PMingLiU"/>
      <w:b/>
      <w:bCs/>
      <w:spacing w:val="20"/>
      <w:sz w:val="30"/>
      <w:szCs w:val="30"/>
      <w:u w:val="none"/>
    </w:rPr>
  </w:style>
  <w:style w:type="paragraph" w:customStyle="1" w:styleId="14">
    <w:name w:val="Heading #3|1"/>
    <w:basedOn w:val="1"/>
    <w:link w:val="20"/>
    <w:qFormat/>
    <w:uiPriority w:val="0"/>
    <w:pPr>
      <w:widowControl w:val="0"/>
      <w:shd w:val="clear" w:color="auto" w:fill="FFFFFF"/>
      <w:spacing w:line="518" w:lineRule="exact"/>
      <w:jc w:val="distribute"/>
      <w:outlineLvl w:val="2"/>
    </w:pPr>
    <w:rPr>
      <w:rFonts w:ascii="PMingLiU" w:hAnsi="PMingLiU" w:eastAsia="PMingLiU" w:cs="PMingLiU"/>
      <w:b/>
      <w:bCs/>
      <w:spacing w:val="20"/>
      <w:sz w:val="30"/>
      <w:szCs w:val="30"/>
      <w:u w:val="none"/>
    </w:rPr>
  </w:style>
  <w:style w:type="character" w:customStyle="1" w:styleId="15">
    <w:name w:val="Body text|2 + Times New Roman"/>
    <w:basedOn w:val="16"/>
    <w:semiHidden/>
    <w:unhideWhenUsed/>
    <w:qFormat/>
    <w:uiPriority w:val="0"/>
    <w:rPr>
      <w:rFonts w:ascii="Times New Roman" w:hAnsi="Times New Roman" w:eastAsia="Times New Roman" w:cs="Times New Roman"/>
      <w:color w:val="000000"/>
      <w:spacing w:val="0"/>
      <w:w w:val="100"/>
      <w:position w:val="0"/>
      <w:sz w:val="32"/>
      <w:szCs w:val="32"/>
      <w:lang w:val="en-US" w:eastAsia="en-US" w:bidi="en-US"/>
    </w:rPr>
  </w:style>
  <w:style w:type="character" w:customStyle="1" w:styleId="16">
    <w:name w:val="Body text|2_"/>
    <w:basedOn w:val="7"/>
    <w:link w:val="10"/>
    <w:qFormat/>
    <w:uiPriority w:val="0"/>
    <w:rPr>
      <w:rFonts w:ascii="PMingLiU" w:hAnsi="PMingLiU" w:eastAsia="PMingLiU" w:cs="PMingLiU"/>
      <w:spacing w:val="30"/>
      <w:sz w:val="30"/>
      <w:szCs w:val="30"/>
      <w:u w:val="none"/>
    </w:rPr>
  </w:style>
  <w:style w:type="paragraph" w:customStyle="1" w:styleId="17">
    <w:name w:val="Body text|4"/>
    <w:basedOn w:val="1"/>
    <w:qFormat/>
    <w:uiPriority w:val="0"/>
    <w:pPr>
      <w:widowControl w:val="0"/>
      <w:shd w:val="clear" w:color="auto" w:fill="FFFFFF"/>
      <w:spacing w:before="760" w:line="420" w:lineRule="exact"/>
      <w:jc w:val="center"/>
    </w:pPr>
    <w:rPr>
      <w:rFonts w:ascii="PMingLiU" w:hAnsi="PMingLiU" w:eastAsia="PMingLiU" w:cs="PMingLiU"/>
      <w:sz w:val="42"/>
      <w:szCs w:val="42"/>
      <w:u w:val="none"/>
    </w:rPr>
  </w:style>
  <w:style w:type="paragraph" w:customStyle="1" w:styleId="18">
    <w:name w:val="Body text|5"/>
    <w:basedOn w:val="1"/>
    <w:qFormat/>
    <w:uiPriority w:val="0"/>
    <w:pPr>
      <w:widowControl w:val="0"/>
      <w:shd w:val="clear" w:color="auto" w:fill="FFFFFF"/>
      <w:spacing w:after="760" w:line="280" w:lineRule="exact"/>
      <w:ind w:firstLine="660"/>
      <w:jc w:val="distribute"/>
    </w:pPr>
    <w:rPr>
      <w:rFonts w:ascii="PMingLiU" w:hAnsi="PMingLiU" w:eastAsia="PMingLiU" w:cs="PMingLiU"/>
      <w:sz w:val="28"/>
      <w:szCs w:val="28"/>
      <w:u w:val="none"/>
    </w:rPr>
  </w:style>
  <w:style w:type="character" w:customStyle="1" w:styleId="19">
    <w:name w:val="Heading #3|1 + Spacing 3 pt"/>
    <w:basedOn w:val="20"/>
    <w:semiHidden/>
    <w:unhideWhenUsed/>
    <w:qFormat/>
    <w:uiPriority w:val="0"/>
    <w:rPr>
      <w:color w:val="000000"/>
      <w:spacing w:val="70"/>
      <w:w w:val="100"/>
      <w:position w:val="0"/>
      <w:lang w:val="zh-CN" w:eastAsia="zh-CN" w:bidi="zh-CN"/>
    </w:rPr>
  </w:style>
  <w:style w:type="character" w:customStyle="1" w:styleId="20">
    <w:name w:val="Heading #3|1_"/>
    <w:basedOn w:val="7"/>
    <w:link w:val="14"/>
    <w:qFormat/>
    <w:uiPriority w:val="0"/>
    <w:rPr>
      <w:rFonts w:ascii="PMingLiU" w:hAnsi="PMingLiU" w:eastAsia="PMingLiU" w:cs="PMingLiU"/>
      <w:b/>
      <w:bCs/>
      <w:spacing w:val="20"/>
      <w:sz w:val="30"/>
      <w:szCs w:val="30"/>
      <w:u w:val="none"/>
    </w:rPr>
  </w:style>
  <w:style w:type="character" w:customStyle="1" w:styleId="21">
    <w:name w:val="Body text|2 + Bold"/>
    <w:basedOn w:val="16"/>
    <w:semiHidden/>
    <w:unhideWhenUsed/>
    <w:qFormat/>
    <w:uiPriority w:val="0"/>
    <w:rPr>
      <w:b/>
      <w:bCs/>
      <w:color w:val="000000"/>
      <w:spacing w:val="70"/>
      <w:w w:val="100"/>
      <w:position w:val="0"/>
      <w:lang w:val="zh-CN" w:eastAsia="zh-CN" w:bidi="zh-CN"/>
    </w:rPr>
  </w:style>
  <w:style w:type="character" w:customStyle="1" w:styleId="22">
    <w:name w:val="Heading #3|1 + Spacing 8 pt"/>
    <w:basedOn w:val="20"/>
    <w:semiHidden/>
    <w:unhideWhenUsed/>
    <w:qFormat/>
    <w:uiPriority w:val="0"/>
    <w:rPr>
      <w:color w:val="000000"/>
      <w:spacing w:val="170"/>
      <w:w w:val="100"/>
      <w:position w:val="0"/>
      <w:lang w:val="zh-CN" w:eastAsia="zh-CN" w:bidi="zh-CN"/>
    </w:rPr>
  </w:style>
  <w:style w:type="character" w:customStyle="1" w:styleId="23">
    <w:name w:val="Body text|2 + 6.5 pt"/>
    <w:basedOn w:val="16"/>
    <w:semiHidden/>
    <w:unhideWhenUsed/>
    <w:qFormat/>
    <w:uiPriority w:val="0"/>
    <w:rPr>
      <w:color w:val="000000"/>
      <w:spacing w:val="150"/>
      <w:w w:val="60"/>
      <w:position w:val="0"/>
      <w:sz w:val="13"/>
      <w:szCs w:val="13"/>
      <w:lang w:val="zh-CN" w:eastAsia="zh-CN" w:bidi="zh-CN"/>
    </w:rPr>
  </w:style>
  <w:style w:type="character" w:customStyle="1" w:styleId="24">
    <w:name w:val="Body text|2 + Spacing 8 pt"/>
    <w:basedOn w:val="16"/>
    <w:semiHidden/>
    <w:unhideWhenUsed/>
    <w:qFormat/>
    <w:uiPriority w:val="0"/>
    <w:rPr>
      <w:color w:val="000000"/>
      <w:spacing w:val="170"/>
      <w:w w:val="100"/>
      <w:position w:val="0"/>
      <w:lang w:val="zh-CN" w:eastAsia="zh-CN" w:bidi="zh-CN"/>
    </w:rPr>
  </w:style>
  <w:style w:type="paragraph" w:customStyle="1" w:styleId="25">
    <w:name w:val="Header or footer|11"/>
    <w:basedOn w:val="1"/>
    <w:link w:val="27"/>
    <w:qFormat/>
    <w:uiPriority w:val="0"/>
    <w:pPr>
      <w:widowControl w:val="0"/>
      <w:shd w:val="clear" w:color="auto" w:fill="FFFFFF"/>
      <w:spacing w:line="232" w:lineRule="exact"/>
    </w:pPr>
    <w:rPr>
      <w:b/>
      <w:bCs/>
      <w:spacing w:val="30"/>
      <w:sz w:val="21"/>
      <w:szCs w:val="21"/>
      <w:u w:val="none"/>
      <w:lang w:val="en-US" w:eastAsia="en-US" w:bidi="en-US"/>
    </w:rPr>
  </w:style>
  <w:style w:type="character" w:customStyle="1" w:styleId="26">
    <w:name w:val="Header or footer|1"/>
    <w:basedOn w:val="27"/>
    <w:semiHidden/>
    <w:unhideWhenUsed/>
    <w:qFormat/>
    <w:uiPriority w:val="0"/>
    <w:rPr>
      <w:rFonts w:ascii="Times New Roman" w:hAnsi="Times New Roman" w:eastAsia="Times New Roman" w:cs="Times New Roman"/>
      <w:color w:val="000000"/>
      <w:w w:val="100"/>
      <w:position w:val="0"/>
    </w:rPr>
  </w:style>
  <w:style w:type="character" w:customStyle="1" w:styleId="27">
    <w:name w:val="Header or footer|1_"/>
    <w:basedOn w:val="7"/>
    <w:link w:val="25"/>
    <w:qFormat/>
    <w:uiPriority w:val="0"/>
    <w:rPr>
      <w:b/>
      <w:bCs/>
      <w:spacing w:val="30"/>
      <w:sz w:val="21"/>
      <w:szCs w:val="21"/>
      <w:u w:val="none"/>
      <w:lang w:val="en-US" w:eastAsia="en-US" w:bidi="en-US"/>
    </w:rPr>
  </w:style>
  <w:style w:type="character" w:customStyle="1" w:styleId="28">
    <w:name w:val="Header or footer|1 + 4 pt"/>
    <w:basedOn w:val="27"/>
    <w:semiHidden/>
    <w:unhideWhenUsed/>
    <w:qFormat/>
    <w:uiPriority w:val="0"/>
    <w:rPr>
      <w:rFonts w:ascii="Times New Roman" w:hAnsi="Times New Roman" w:eastAsia="Times New Roman" w:cs="Times New Roman"/>
      <w:color w:val="000000"/>
      <w:spacing w:val="0"/>
      <w:w w:val="100"/>
      <w:position w:val="0"/>
      <w:sz w:val="8"/>
      <w:szCs w:val="8"/>
      <w:lang w:val="zh-CN" w:eastAsia="zh-CN" w:bidi="zh-CN"/>
    </w:rPr>
  </w:style>
  <w:style w:type="character" w:customStyle="1" w:styleId="29">
    <w:name w:val="标题 1 Char"/>
    <w:link w:val="2"/>
    <w:qFormat/>
    <w:uiPriority w:val="0"/>
    <w:rPr>
      <w:b/>
      <w:kern w:val="44"/>
      <w:sz w:val="44"/>
    </w:rPr>
  </w:style>
  <w:style w:type="character" w:customStyle="1" w:styleId="30">
    <w:name w:val="Body text|3 + Not Bold"/>
    <w:basedOn w:val="13"/>
    <w:semiHidden/>
    <w:unhideWhenUsed/>
    <w:qFormat/>
    <w:uiPriority w:val="0"/>
    <w:rPr>
      <w:color w:val="000000"/>
      <w:spacing w:val="30"/>
      <w:w w:val="100"/>
      <w:position w:val="0"/>
      <w:lang w:val="zh-CN" w:eastAsia="zh-CN" w:bidi="zh-CN"/>
    </w:rPr>
  </w:style>
  <w:style w:type="paragraph" w:customStyle="1" w:styleId="31">
    <w:name w:val="Heading #2|1"/>
    <w:basedOn w:val="1"/>
    <w:qFormat/>
    <w:uiPriority w:val="0"/>
    <w:pPr>
      <w:widowControl w:val="0"/>
      <w:shd w:val="clear" w:color="auto" w:fill="FFFFFF"/>
      <w:spacing w:before="1240" w:after="500" w:line="504" w:lineRule="exact"/>
      <w:jc w:val="center"/>
      <w:outlineLvl w:val="1"/>
    </w:pPr>
    <w:rPr>
      <w:rFonts w:ascii="PMingLiU" w:hAnsi="PMingLiU" w:eastAsia="PMingLiU" w:cs="PMingLiU"/>
      <w:sz w:val="42"/>
      <w:szCs w:val="42"/>
      <w:u w:val="none"/>
    </w:rPr>
  </w:style>
  <w:style w:type="character" w:customStyle="1" w:styleId="32">
    <w:name w:val="Body text|2 + Spacing 0 pt"/>
    <w:basedOn w:val="16"/>
    <w:semiHidden/>
    <w:unhideWhenUsed/>
    <w:qFormat/>
    <w:uiPriority w:val="0"/>
    <w:rPr>
      <w:color w:val="000000"/>
      <w:spacing w:val="0"/>
      <w:w w:val="100"/>
      <w:position w:val="0"/>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2019-03-26T07:59:00Z</dcterms:created>
  <dc:creator>17／7</dc:creator>
  <cp:lastModifiedBy>杏。</cp:lastModifiedBy>
  <cp:lastPrinted>2019-03-29T03:23:00Z</cp:lastPrinted>
  <dcterms:modified xsi:type="dcterms:W3CDTF">2019-03-29T03:34:01Z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