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val="0"/>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郑州师范学院会议费管理办法</w:t>
      </w:r>
    </w:p>
    <w:p>
      <w:pPr>
        <w:pStyle w:val="5"/>
        <w:keepNext w:val="0"/>
        <w:keepLines w:val="0"/>
        <w:pageBreakBefore w:val="0"/>
        <w:widowControl/>
        <w:kinsoku/>
        <w:wordWrap/>
        <w:overflowPunct/>
        <w:topLinePunct w:val="0"/>
        <w:autoSpaceDE w:val="0"/>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（试行）</w:t>
      </w:r>
    </w:p>
    <w:p>
      <w:pPr>
        <w:pStyle w:val="5"/>
        <w:keepNext w:val="0"/>
        <w:keepLines w:val="0"/>
        <w:pageBreakBefore w:val="0"/>
        <w:widowControl/>
        <w:kinsoku/>
        <w:wordWrap/>
        <w:overflowPunct/>
        <w:topLinePunct w:val="0"/>
        <w:autoSpaceDE w:val="0"/>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color w:val="auto"/>
          <w:sz w:val="44"/>
          <w:szCs w:val="44"/>
        </w:rPr>
      </w:pPr>
    </w:p>
    <w:p>
      <w:pPr>
        <w:pStyle w:val="5"/>
        <w:keepNext w:val="0"/>
        <w:keepLines w:val="0"/>
        <w:pageBreakBefore w:val="0"/>
        <w:widowControl/>
        <w:kinsoku/>
        <w:wordWrap/>
        <w:overflowPunct/>
        <w:topLinePunct w:val="0"/>
        <w:autoSpaceDE w:val="0"/>
        <w:autoSpaceDN/>
        <w:bidi w:val="0"/>
        <w:adjustRightInd/>
        <w:snapToGrid w:val="0"/>
        <w:spacing w:before="0" w:beforeAutospacing="0" w:after="0" w:afterAutospacing="0" w:line="56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总</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kern w:val="0"/>
          <w:szCs w:val="32"/>
        </w:rPr>
      </w:pPr>
      <w:r>
        <w:rPr>
          <w:rStyle w:val="9"/>
          <w:rFonts w:hint="eastAsia" w:ascii="黑体" w:hAnsi="黑体" w:eastAsia="黑体" w:cs="黑体"/>
          <w:b w:val="0"/>
          <w:kern w:val="0"/>
          <w:szCs w:val="32"/>
        </w:rPr>
        <w:t>第一条</w:t>
      </w:r>
      <w:r>
        <w:rPr>
          <w:rStyle w:val="9"/>
          <w:rFonts w:hint="eastAsia" w:ascii="黑体" w:hAnsi="黑体" w:eastAsia="黑体" w:cs="黑体"/>
          <w:b w:val="0"/>
          <w:kern w:val="0"/>
          <w:szCs w:val="32"/>
          <w:lang w:val="en-US" w:eastAsia="zh-CN"/>
        </w:rPr>
        <w:t xml:space="preserve">  </w:t>
      </w:r>
      <w:r>
        <w:rPr>
          <w:rFonts w:hint="eastAsia" w:ascii="仿宋_GB2312" w:hAnsi="仿宋_GB2312" w:cs="仿宋_GB2312"/>
          <w:kern w:val="0"/>
          <w:szCs w:val="32"/>
        </w:rPr>
        <w:t>根据《中共河南省委办公厅、河南省人民政府办公厅关于进一步完善省级财政科研项目资金管理等政策的若干意见》（豫办〔2017〕7号）、《郑州市人民政府办公厅关于郑州市市级会议费管理办法的通知》（郑政办〔2016〕70号）文件精神，结合学校实际情况，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szCs w:val="32"/>
        </w:rPr>
      </w:pPr>
      <w:r>
        <w:rPr>
          <w:rStyle w:val="9"/>
          <w:rFonts w:hint="eastAsia" w:ascii="黑体" w:hAnsi="黑体" w:eastAsia="黑体" w:cs="黑体"/>
          <w:b w:val="0"/>
          <w:kern w:val="0"/>
          <w:szCs w:val="32"/>
        </w:rPr>
        <w:t>第二条</w:t>
      </w:r>
      <w:r>
        <w:rPr>
          <w:rStyle w:val="9"/>
          <w:rFonts w:hint="eastAsia" w:ascii="黑体" w:hAnsi="黑体" w:eastAsia="黑体" w:cs="黑体"/>
          <w:b w:val="0"/>
          <w:kern w:val="0"/>
          <w:szCs w:val="32"/>
          <w:lang w:val="en-US" w:eastAsia="zh-CN"/>
        </w:rPr>
        <w:t xml:space="preserve">  </w:t>
      </w:r>
      <w:r>
        <w:rPr>
          <w:rFonts w:hint="eastAsia" w:ascii="仿宋_GB2312" w:hAnsi="仿宋_GB2312" w:cs="仿宋_GB2312"/>
          <w:kern w:val="0"/>
          <w:szCs w:val="32"/>
        </w:rPr>
        <w:t>本办法适用于学校举办（含主办、承办，下同）的各类业务会议和管理会议。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业务会议是指因教学、科研等业务需要举办的业务性会议，包括学术会议、学术论坛、研讨会、评审会、座谈会、答辩会等。管理会议是指除业务会议之外的其他会议。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Style w:val="9"/>
          <w:rFonts w:hint="eastAsia" w:ascii="黑体" w:hAnsi="黑体" w:eastAsia="黑体" w:cs="黑体"/>
          <w:b w:val="0"/>
          <w:kern w:val="0"/>
          <w:szCs w:val="32"/>
        </w:rPr>
        <w:t>第三条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各单位召开会议应坚持厉行节约、反对浪费、规范简朴、务实高效的原则，严格控制会议数量、规模和会期，规范会议费管理。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Style w:val="9"/>
          <w:rFonts w:hint="eastAsia" w:ascii="黑体" w:hAnsi="黑体" w:eastAsia="黑体" w:cs="黑体"/>
          <w:b w:val="0"/>
          <w:kern w:val="0"/>
          <w:szCs w:val="32"/>
        </w:rPr>
        <w:t>第四条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会议费的管理实行谁举办、谁负责，谁审批、谁负责的原则。会议举办者是会议费的直接负责人，对会议费使用的合规性、合理性、真实性和相关性承担直接责任。会议举办者应了解并遵守有关财经法律法规和会议费管理制度，依法、据实报销会议费。</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default" w:ascii="黑体" w:hAnsi="黑体" w:eastAsia="黑体"/>
          <w:b w:val="0"/>
          <w:sz w:val="32"/>
          <w:szCs w:val="32"/>
        </w:rPr>
      </w:pPr>
      <w:r>
        <w:rPr>
          <w:rFonts w:ascii="黑体" w:hAnsi="黑体" w:eastAsia="黑体"/>
          <w:b w:val="0"/>
          <w:sz w:val="32"/>
          <w:szCs w:val="32"/>
        </w:rPr>
        <w:t>第二章</w:t>
      </w:r>
      <w:r>
        <w:rPr>
          <w:rFonts w:hint="eastAsia" w:ascii="黑体" w:hAnsi="黑体" w:eastAsia="黑体"/>
          <w:b w:val="0"/>
          <w:sz w:val="32"/>
          <w:szCs w:val="32"/>
          <w:lang w:val="en-US" w:eastAsia="zh-CN"/>
        </w:rPr>
        <w:t xml:space="preserve">  </w:t>
      </w:r>
      <w:r>
        <w:rPr>
          <w:rFonts w:ascii="黑体" w:hAnsi="黑体" w:eastAsia="黑体"/>
          <w:b w:val="0"/>
          <w:sz w:val="32"/>
          <w:szCs w:val="32"/>
        </w:rPr>
        <w:t>会议审批和管理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第五条</w:t>
      </w:r>
      <w:r>
        <w:rPr>
          <w:rFonts w:hint="eastAsia" w:ascii="黑体" w:hAnsi="黑体" w:eastAsia="黑体" w:cs="黑体"/>
          <w:kern w:val="0"/>
          <w:szCs w:val="32"/>
          <w:lang w:val="en-US" w:eastAsia="zh-CN"/>
        </w:rPr>
        <w:t xml:space="preserve">  </w:t>
      </w:r>
      <w:r>
        <w:rPr>
          <w:rFonts w:hint="eastAsia" w:ascii="仿宋_GB2312" w:hAnsi="仿宋_GB2312" w:eastAsia="仿宋_GB2312" w:cs="仿宋_GB2312"/>
          <w:kern w:val="0"/>
          <w:szCs w:val="32"/>
        </w:rPr>
        <w:t>使用市财政预算经费举办的会议需按相关程序报学校校长办公会研究，经批准后方可安排会议费预算，并于每年10月30日前报财务处审核后报市财政局审批，经批准后列入下一年度部门预算。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以校内各二级单位名义举办的非财政资金的会议、各类科研项目（课题）组名义举办的会议，由经费负责人提出申请，主管部门和分管校领导审批后到财务处备案。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第六条</w:t>
      </w:r>
      <w:r>
        <w:rPr>
          <w:rFonts w:hint="eastAsia" w:ascii="黑体" w:hAnsi="黑体" w:eastAsia="黑体" w:cs="黑体"/>
          <w:kern w:val="0"/>
          <w:szCs w:val="32"/>
          <w:lang w:val="en-US" w:eastAsia="zh-CN"/>
        </w:rPr>
        <w:t xml:space="preserve">  </w:t>
      </w:r>
      <w:r>
        <w:rPr>
          <w:rFonts w:hint="eastAsia" w:ascii="仿宋_GB2312" w:hAnsi="仿宋_GB2312" w:eastAsia="仿宋_GB2312" w:cs="仿宋_GB2312"/>
          <w:kern w:val="0"/>
          <w:szCs w:val="32"/>
        </w:rPr>
        <w:t>使用纵向科研经费和其他实行预算控制的经费召开会议，应在经费批准的会议费预算额度和标准内开支会议费。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使用横向科研经费的，按照双方签订的合同或协议召开会议,会议费标准参照执行。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第七条</w:t>
      </w:r>
      <w:r>
        <w:rPr>
          <w:rFonts w:hint="eastAsia" w:ascii="黑体" w:hAnsi="黑体" w:eastAsia="黑体" w:cs="黑体"/>
          <w:kern w:val="0"/>
          <w:szCs w:val="32"/>
          <w:lang w:val="en-US" w:eastAsia="zh-CN"/>
        </w:rPr>
        <w:t xml:space="preserve"> </w:t>
      </w:r>
      <w:r>
        <w:rPr>
          <w:rFonts w:hint="eastAsia" w:ascii="仿宋_GB2312" w:hAnsi="仿宋_GB2312" w:eastAsia="仿宋_GB2312" w:cs="仿宋_GB2312"/>
          <w:kern w:val="0"/>
          <w:szCs w:val="32"/>
        </w:rPr>
        <w:t xml:space="preserve"> 举办会议应预先编制会议费预算表，会议费预算内容包括会议名称、召开的理由、主要内容、时间地点、代表人数、工作人员人数（管理会议不超过总人数10%）、所需经费及列支渠道等。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黑体" w:hAnsi="黑体" w:eastAsia="黑体" w:cs="黑体"/>
          <w:kern w:val="0"/>
          <w:szCs w:val="32"/>
        </w:rPr>
        <w:t>第八条</w:t>
      </w:r>
      <w:r>
        <w:rPr>
          <w:rFonts w:hint="eastAsia" w:ascii="仿宋_GB2312" w:hAnsi="仿宋_GB2312" w:eastAsia="仿宋_GB2312" w:cs="仿宋_GB2312"/>
          <w:kern w:val="0"/>
          <w:szCs w:val="32"/>
        </w:rPr>
        <w:t xml:space="preserve"> </w:t>
      </w:r>
      <w:r>
        <w:rPr>
          <w:rFonts w:hint="eastAsia" w:ascii="仿宋_GB2312" w:hAnsi="仿宋_GB2312" w:cs="仿宋_GB2312"/>
          <w:kern w:val="0"/>
          <w:szCs w:val="32"/>
          <w:lang w:val="en-US" w:eastAsia="zh-CN"/>
        </w:rPr>
        <w:t xml:space="preserve"> </w:t>
      </w:r>
      <w:r>
        <w:rPr>
          <w:rFonts w:hint="eastAsia" w:ascii="仿宋_GB2312" w:hAnsi="仿宋_GB2312" w:eastAsia="仿宋_GB2312" w:cs="仿宋_GB2312"/>
          <w:kern w:val="0"/>
          <w:szCs w:val="32"/>
        </w:rPr>
        <w:t>各单位举办的业务性会议次数、天数、参会人数、特邀代表人数等应按照业务活动实际需要确定。管理性会议会期一般不得超过2天，业务性会议一般不得超过3天，会议报到和离开时间合计不得超过1天。会期1天的会议原则上不安排住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黑体" w:hAnsi="黑体" w:eastAsia="黑体" w:cs="黑体"/>
          <w:kern w:val="0"/>
          <w:szCs w:val="32"/>
        </w:rPr>
        <w:t>第九条</w:t>
      </w:r>
      <w:r>
        <w:rPr>
          <w:rFonts w:hint="eastAsia" w:ascii="黑体" w:hAnsi="黑体" w:eastAsia="黑体" w:cs="黑体"/>
          <w:kern w:val="0"/>
          <w:szCs w:val="32"/>
          <w:lang w:val="en-US" w:eastAsia="zh-CN"/>
        </w:rPr>
        <w:t xml:space="preserve"> </w:t>
      </w:r>
      <w:r>
        <w:rPr>
          <w:rStyle w:val="9"/>
          <w:rFonts w:hint="eastAsia" w:ascii="仿宋_GB2312" w:hAnsi="仿宋_GB2312" w:eastAsia="仿宋_GB2312" w:cs="仿宋_GB2312"/>
          <w:b w:val="0"/>
          <w:kern w:val="0"/>
          <w:szCs w:val="32"/>
        </w:rPr>
        <w:t xml:space="preserve"> </w:t>
      </w:r>
      <w:r>
        <w:rPr>
          <w:rFonts w:hint="eastAsia" w:ascii="仿宋_GB2312" w:hAnsi="仿宋_GB2312" w:eastAsia="仿宋_GB2312" w:cs="仿宋_GB2312"/>
          <w:kern w:val="0"/>
          <w:szCs w:val="32"/>
        </w:rPr>
        <w:t>要改进会议形式，充分运用电视电话、网络视频等现代信息技术手段，降低会议成本，提高会议效率。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Style w:val="9"/>
          <w:rFonts w:hint="eastAsia" w:ascii="黑体" w:hAnsi="黑体" w:eastAsia="黑体" w:cs="黑体"/>
          <w:b w:val="0"/>
          <w:kern w:val="0"/>
          <w:szCs w:val="32"/>
        </w:rPr>
        <w:t>第十条</w:t>
      </w:r>
      <w:r>
        <w:rPr>
          <w:rStyle w:val="9"/>
          <w:rFonts w:hint="eastAsia" w:ascii="仿宋_GB2312" w:hAnsi="仿宋_GB2312" w:cs="仿宋_GB2312"/>
          <w:b w:val="0"/>
          <w:kern w:val="0"/>
          <w:szCs w:val="32"/>
          <w:lang w:val="en-US" w:eastAsia="zh-CN"/>
        </w:rPr>
        <w:t xml:space="preserve">  </w:t>
      </w:r>
      <w:r>
        <w:rPr>
          <w:rFonts w:hint="eastAsia" w:ascii="仿宋_GB2312" w:hAnsi="仿宋_GB2312" w:eastAsia="仿宋_GB2312" w:cs="仿宋_GB2312"/>
          <w:kern w:val="0"/>
          <w:szCs w:val="32"/>
        </w:rPr>
        <w:t>会议优先安排在学校内部报告厅、会议室等场所。因工作需要必须在校外召开的，由分管校领导审批，原则上应安排在具有省市会议定点资格的定点饭店召开,</w:t>
      </w:r>
      <w:r>
        <w:rPr>
          <w:rFonts w:hint="eastAsia" w:ascii="仿宋_GB2312" w:hAnsi="仿宋_GB2312" w:eastAsia="仿宋_GB2312" w:cs="仿宋_GB2312"/>
        </w:rPr>
        <w:t>按照不高于协议价格结算费用。未纳入定点范围，价格低于会议综合定额标准的单位内部会议室、礼堂、宾馆、招待所、培训中心，可优先作为本单位或本系统会议场所。会议定点场所可在财政部“党政机关会议定点场所管理信息系统”(http://meeting.mof.gov.cn)上查询。</w:t>
      </w:r>
      <w:r>
        <w:rPr>
          <w:rFonts w:hint="eastAsia" w:ascii="仿宋_GB2312" w:hAnsi="仿宋_GB2312" w:eastAsia="仿宋_GB2312" w:cs="仿宋_GB2312"/>
          <w:kern w:val="0"/>
          <w:szCs w:val="32"/>
        </w:rPr>
        <w:t>不得到党中央、国务院明令禁止的风景名胜区召开会议。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Style w:val="9"/>
          <w:rFonts w:hint="eastAsia" w:ascii="黑体" w:hAnsi="黑体" w:eastAsia="黑体" w:cs="黑体"/>
          <w:b w:val="0"/>
          <w:kern w:val="0"/>
          <w:szCs w:val="32"/>
        </w:rPr>
        <w:t>第十一条</w:t>
      </w:r>
      <w:r>
        <w:rPr>
          <w:rStyle w:val="9"/>
          <w:rFonts w:hint="eastAsia" w:ascii="仿宋_GB2312" w:hAnsi="仿宋_GB2312" w:cs="仿宋_GB2312"/>
          <w:b w:val="0"/>
          <w:kern w:val="0"/>
          <w:szCs w:val="32"/>
          <w:lang w:val="en-US" w:eastAsia="zh-CN"/>
        </w:rPr>
        <w:t xml:space="preserve">  </w:t>
      </w:r>
      <w:r>
        <w:rPr>
          <w:rFonts w:hint="eastAsia" w:ascii="仿宋_GB2312" w:hAnsi="仿宋_GB2312" w:eastAsia="仿宋_GB2312" w:cs="仿宋_GB2312"/>
          <w:kern w:val="0"/>
          <w:szCs w:val="32"/>
        </w:rPr>
        <w:t>各二级单位举办的国内会议应有可靠的经费来源，并做到收支平衡。对于全部使用财政拨款举办的国内会议，不得再向参会人员收取费用。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对于使用多种资金渠道举办的国内会议，按照成本补偿的原则，可以适当向参会人员收取会议费。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对于有赞助收入的国内会议，应与赞助方签订赞助协议明确双方的权利和责任。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Style w:val="9"/>
          <w:rFonts w:hint="eastAsia" w:ascii="黑体" w:hAnsi="黑体" w:eastAsia="黑体" w:cs="黑体"/>
          <w:b w:val="0"/>
          <w:kern w:val="0"/>
          <w:szCs w:val="32"/>
        </w:rPr>
        <w:t>第十二条</w:t>
      </w:r>
      <w:r>
        <w:rPr>
          <w:rStyle w:val="9"/>
          <w:rFonts w:hint="eastAsia" w:ascii="仿宋_GB2312" w:hAnsi="仿宋_GB2312" w:cs="仿宋_GB2312"/>
          <w:b w:val="0"/>
          <w:kern w:val="0"/>
          <w:szCs w:val="32"/>
          <w:lang w:val="en-US" w:eastAsia="zh-CN"/>
        </w:rPr>
        <w:t xml:space="preserve">  </w:t>
      </w:r>
      <w:r>
        <w:rPr>
          <w:rFonts w:hint="eastAsia" w:ascii="仿宋_GB2312" w:hAnsi="仿宋_GB2312" w:eastAsia="仿宋_GB2312" w:cs="仿宋_GB2312"/>
          <w:kern w:val="0"/>
          <w:szCs w:val="32"/>
        </w:rPr>
        <w:t>会议一般应由本校自有人员承担会务工作，确因工作需要委托校外单位代办会议的，需要签订委托合同，达到招标采购限额标准的纳入招标采购程序，会议费在规定标准内报销。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除必须住会的情况外，会议召开地代表和会议工作人员原则上不安排住宿。</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default" w:ascii="黑体" w:hAnsi="黑体" w:eastAsia="黑体"/>
          <w:b w:val="0"/>
          <w:sz w:val="32"/>
          <w:szCs w:val="32"/>
        </w:rPr>
      </w:pPr>
      <w:r>
        <w:rPr>
          <w:rFonts w:ascii="黑体" w:hAnsi="黑体" w:eastAsia="黑体"/>
          <w:b w:val="0"/>
          <w:sz w:val="32"/>
          <w:szCs w:val="32"/>
        </w:rPr>
        <w:t>第三章</w:t>
      </w:r>
      <w:r>
        <w:rPr>
          <w:rFonts w:hint="eastAsia" w:ascii="黑体" w:hAnsi="黑体" w:eastAsia="黑体"/>
          <w:b w:val="0"/>
          <w:sz w:val="32"/>
          <w:szCs w:val="32"/>
          <w:lang w:val="en-US" w:eastAsia="zh-CN"/>
        </w:rPr>
        <w:t xml:space="preserve">  </w:t>
      </w:r>
      <w:r>
        <w:rPr>
          <w:rFonts w:ascii="黑体" w:hAnsi="黑体" w:eastAsia="黑体"/>
          <w:b w:val="0"/>
          <w:sz w:val="32"/>
          <w:szCs w:val="32"/>
        </w:rPr>
        <w:t>会议费开支范围和报销管理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Style w:val="9"/>
          <w:rFonts w:hint="eastAsia" w:ascii="黑体" w:hAnsi="黑体" w:eastAsia="黑体" w:cs="黑体"/>
          <w:b w:val="0"/>
          <w:kern w:val="0"/>
          <w:szCs w:val="32"/>
        </w:rPr>
        <w:t>第十三条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举办会议开支范围包括会议住宿费、伙食费、会议室租金、交通费、文件印刷费、办公文具、医药费等。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前款所称交通费是指用于会议代表接送站，以及会议统一组织的代表考察、调研等发生的交通支出。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Style w:val="9"/>
          <w:rFonts w:hint="eastAsia" w:ascii="黑体" w:hAnsi="黑体" w:eastAsia="黑体" w:cs="黑体"/>
          <w:b w:val="0"/>
          <w:kern w:val="0"/>
          <w:szCs w:val="32"/>
        </w:rPr>
        <w:t>第十四条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szCs w:val="32"/>
        </w:rPr>
        <w:t>会议费开支实行综合定额控制，各项费用之间可以调剂使用。会议费综合定额标准如下：</w:t>
      </w:r>
    </w:p>
    <w:p>
      <w:pPr>
        <w:keepNext w:val="0"/>
        <w:keepLines w:val="0"/>
        <w:pageBreakBefore w:val="0"/>
        <w:widowControl/>
        <w:kinsoku/>
        <w:wordWrap/>
        <w:overflowPunct/>
        <w:topLinePunct w:val="0"/>
        <w:autoSpaceDE/>
        <w:autoSpaceDN/>
        <w:bidi w:val="0"/>
        <w:adjustRightInd/>
        <w:snapToGrid/>
        <w:spacing w:line="560" w:lineRule="exact"/>
        <w:ind w:right="706" w:firstLine="640" w:firstLineChars="200"/>
        <w:jc w:val="righ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单位：元/人·天</w:t>
      </w:r>
    </w:p>
    <w:tbl>
      <w:tblPr>
        <w:tblStyle w:val="6"/>
        <w:tblW w:w="743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119"/>
        <w:gridCol w:w="1222"/>
        <w:gridCol w:w="1222"/>
        <w:gridCol w:w="1521"/>
        <w:gridCol w:w="134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19" w:type="dxa"/>
            <w:tcBorders>
              <w:top w:val="single" w:color="000000" w:sz="4" w:space="0"/>
              <w:left w:val="single" w:color="000000" w:sz="4" w:space="0"/>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会议类别</w:t>
            </w:r>
          </w:p>
        </w:tc>
        <w:tc>
          <w:tcPr>
            <w:tcW w:w="1222"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住宿费</w:t>
            </w:r>
          </w:p>
        </w:tc>
        <w:tc>
          <w:tcPr>
            <w:tcW w:w="1222"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伙食费</w:t>
            </w:r>
          </w:p>
        </w:tc>
        <w:tc>
          <w:tcPr>
            <w:tcW w:w="1521"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其他费用</w:t>
            </w:r>
          </w:p>
        </w:tc>
        <w:tc>
          <w:tcPr>
            <w:tcW w:w="1347" w:type="dxa"/>
            <w:tcBorders>
              <w:top w:val="single" w:color="000000" w:sz="4" w:space="0"/>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合计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19"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业务会议</w:t>
            </w:r>
          </w:p>
        </w:tc>
        <w:tc>
          <w:tcPr>
            <w:tcW w:w="1222"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rPr>
              <w:t>3</w:t>
            </w:r>
            <w:r>
              <w:rPr>
                <w:rFonts w:hint="eastAsia" w:ascii="仿宋_GB2312" w:hAnsi="仿宋_GB2312" w:eastAsia="仿宋_GB2312" w:cs="仿宋_GB2312"/>
                <w:iCs/>
                <w:kern w:val="0"/>
                <w:sz w:val="28"/>
                <w:szCs w:val="28"/>
                <w:lang w:val="en-US" w:eastAsia="zh-CN"/>
              </w:rPr>
              <w:t>2</w:t>
            </w:r>
            <w:r>
              <w:rPr>
                <w:rFonts w:hint="eastAsia" w:ascii="仿宋_GB2312" w:hAnsi="仿宋_GB2312" w:eastAsia="仿宋_GB2312" w:cs="仿宋_GB2312"/>
                <w:iCs/>
                <w:kern w:val="0"/>
                <w:sz w:val="28"/>
                <w:szCs w:val="28"/>
              </w:rPr>
              <w:t>0</w:t>
            </w:r>
          </w:p>
        </w:tc>
        <w:tc>
          <w:tcPr>
            <w:tcW w:w="1222"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rPr>
              <w:t>1</w:t>
            </w:r>
            <w:r>
              <w:rPr>
                <w:rFonts w:hint="eastAsia" w:ascii="仿宋_GB2312" w:hAnsi="仿宋_GB2312" w:eastAsia="仿宋_GB2312" w:cs="仿宋_GB2312"/>
                <w:iCs/>
                <w:kern w:val="0"/>
                <w:sz w:val="28"/>
                <w:szCs w:val="28"/>
                <w:lang w:val="en-US" w:eastAsia="zh-CN"/>
              </w:rPr>
              <w:t>2</w:t>
            </w:r>
            <w:r>
              <w:rPr>
                <w:rFonts w:hint="eastAsia" w:ascii="仿宋_GB2312" w:hAnsi="仿宋_GB2312" w:eastAsia="仿宋_GB2312" w:cs="仿宋_GB2312"/>
                <w:iCs/>
                <w:kern w:val="0"/>
                <w:sz w:val="28"/>
                <w:szCs w:val="28"/>
              </w:rPr>
              <w:t>0</w:t>
            </w:r>
          </w:p>
        </w:tc>
        <w:tc>
          <w:tcPr>
            <w:tcW w:w="1521"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lang w:val="en-US" w:eastAsia="zh-CN"/>
              </w:rPr>
              <w:t>60</w:t>
            </w:r>
          </w:p>
        </w:tc>
        <w:tc>
          <w:tcPr>
            <w:tcW w:w="1347"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rPr>
              <w:t>5</w:t>
            </w:r>
            <w:r>
              <w:rPr>
                <w:rFonts w:hint="eastAsia" w:ascii="仿宋_GB2312" w:hAnsi="仿宋_GB2312" w:eastAsia="仿宋_GB2312" w:cs="仿宋_GB2312"/>
                <w:iCs/>
                <w:kern w:val="0"/>
                <w:sz w:val="28"/>
                <w:szCs w:val="28"/>
                <w:lang w:val="en-US" w:eastAsia="zh-CN"/>
              </w:rPr>
              <w:t>0</w:t>
            </w:r>
            <w:r>
              <w:rPr>
                <w:rFonts w:hint="eastAsia" w:ascii="仿宋_GB2312" w:hAnsi="仿宋_GB2312" w:eastAsia="仿宋_GB2312" w:cs="仿宋_GB2312"/>
                <w:iCs/>
                <w:kern w:val="0"/>
                <w:sz w:val="28"/>
                <w:szCs w:val="28"/>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2119" w:type="dxa"/>
            <w:tcBorders>
              <w:top w:val="nil"/>
              <w:left w:val="single" w:color="000000" w:sz="4" w:space="0"/>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管理会议</w:t>
            </w:r>
          </w:p>
        </w:tc>
        <w:tc>
          <w:tcPr>
            <w:tcW w:w="1222"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rPr>
              <w:t>280</w:t>
            </w:r>
          </w:p>
        </w:tc>
        <w:tc>
          <w:tcPr>
            <w:tcW w:w="1222"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rPr>
              <w:t>100</w:t>
            </w:r>
          </w:p>
        </w:tc>
        <w:tc>
          <w:tcPr>
            <w:tcW w:w="1521"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rPr>
              <w:t>20</w:t>
            </w:r>
          </w:p>
        </w:tc>
        <w:tc>
          <w:tcPr>
            <w:tcW w:w="1347" w:type="dxa"/>
            <w:tcBorders>
              <w:top w:val="nil"/>
              <w:left w:val="nil"/>
              <w:bottom w:val="single" w:color="000000" w:sz="4" w:space="0"/>
              <w:right w:val="single" w:color="000000" w:sz="4" w:space="0"/>
            </w:tcBorders>
            <w:shd w:val="clear" w:color="auto" w:fill="auto"/>
            <w:tcMar>
              <w:left w:w="84" w:type="dxa"/>
              <w:right w:w="84"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iCs/>
                <w:sz w:val="28"/>
                <w:szCs w:val="28"/>
              </w:rPr>
            </w:pPr>
            <w:r>
              <w:rPr>
                <w:rFonts w:hint="eastAsia" w:ascii="仿宋_GB2312" w:hAnsi="仿宋_GB2312" w:eastAsia="仿宋_GB2312" w:cs="仿宋_GB2312"/>
                <w:iCs/>
                <w:kern w:val="0"/>
                <w:sz w:val="28"/>
                <w:szCs w:val="28"/>
              </w:rPr>
              <w:t>400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使用各级各类财政资金举办的管理和业务会议，严格执行定额标准：400元/人·天。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Style w:val="9"/>
          <w:rFonts w:hint="eastAsia" w:ascii="黑体" w:hAnsi="黑体" w:eastAsia="黑体" w:cs="黑体"/>
          <w:b w:val="0"/>
          <w:kern w:val="0"/>
          <w:szCs w:val="32"/>
        </w:rPr>
        <w:t>第十五条</w:t>
      </w:r>
      <w:r>
        <w:rPr>
          <w:rStyle w:val="9"/>
          <w:rFonts w:hint="eastAsia" w:ascii="仿宋_GB2312" w:hAnsi="仿宋_GB2312" w:eastAsia="仿宋_GB2312" w:cs="仿宋_GB2312"/>
          <w:b w:val="0"/>
          <w:kern w:val="0"/>
          <w:szCs w:val="32"/>
        </w:rPr>
        <w:t xml:space="preserve">  </w:t>
      </w:r>
      <w:r>
        <w:rPr>
          <w:rFonts w:hint="eastAsia" w:ascii="仿宋_GB2312" w:hAnsi="仿宋_GB2312" w:eastAsia="仿宋_GB2312" w:cs="仿宋_GB2312"/>
          <w:kern w:val="0"/>
          <w:szCs w:val="32"/>
        </w:rPr>
        <w:t>下列费用纳入会议费预算，但不计入会议费综合控制定额，从相应的支出科目中据实列支：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一）会议代表差旅费。会议代表参加会议发生的差旅费，原则上回单位报销。对确因工作需要，邀请学者、专家和有关人员参加会议所发生的城市间交通费、国际旅费，可对照学校相应标准在差旅费和外宾接待费中报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（二）同声传译人员翻译费、同声传译设备租金；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Cs w:val="32"/>
        </w:rPr>
      </w:pPr>
      <w:r>
        <w:rPr>
          <w:rFonts w:hint="eastAsia" w:ascii="仿宋_GB2312" w:hAnsi="仿宋_GB2312" w:eastAsia="仿宋_GB2312" w:cs="仿宋_GB2312"/>
          <w:kern w:val="0"/>
          <w:szCs w:val="32"/>
        </w:rPr>
        <w:t>（三）参会专家人员费用。会议举办者根据工作需要，可向邀请参会专家发放咨询费、讲课费、劳务费，参照有关标准执行。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9"/>
          <w:rFonts w:hint="eastAsia" w:ascii="仿宋_GB2312" w:hAnsi="仿宋_GB2312" w:eastAsia="仿宋_GB2312" w:cs="仿宋_GB2312"/>
          <w:b w:val="0"/>
          <w:bCs w:val="0"/>
          <w:kern w:val="0"/>
          <w:szCs w:val="32"/>
        </w:rPr>
      </w:pPr>
      <w:r>
        <w:rPr>
          <w:rStyle w:val="9"/>
          <w:rFonts w:hint="eastAsia" w:ascii="黑体" w:hAnsi="黑体" w:eastAsia="黑体" w:cs="黑体"/>
          <w:b w:val="0"/>
          <w:kern w:val="0"/>
          <w:szCs w:val="32"/>
        </w:rPr>
        <w:t>第十六条</w:t>
      </w:r>
      <w:r>
        <w:rPr>
          <w:rStyle w:val="9"/>
          <w:rFonts w:hint="eastAsia" w:ascii="仿宋_GB2312" w:hAnsi="仿宋_GB2312" w:eastAsia="仿宋_GB2312" w:cs="仿宋_GB2312"/>
          <w:b w:val="0"/>
          <w:kern w:val="0"/>
          <w:szCs w:val="32"/>
        </w:rPr>
        <w:t xml:space="preserve">  </w:t>
      </w:r>
      <w:r>
        <w:rPr>
          <w:rStyle w:val="9"/>
          <w:rFonts w:hint="eastAsia" w:ascii="仿宋_GB2312" w:hAnsi="仿宋_GB2312" w:eastAsia="仿宋_GB2312" w:cs="仿宋_GB2312"/>
          <w:b w:val="0"/>
          <w:bCs w:val="0"/>
          <w:kern w:val="0"/>
          <w:szCs w:val="32"/>
        </w:rPr>
        <w:t>会议举办者在会议结束后应当及时汇总各项资料和票据，填写会议费报销单，统一办理报销手续。会议费报销时应提供：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9"/>
          <w:rFonts w:hint="eastAsia" w:ascii="仿宋_GB2312" w:hAnsi="仿宋_GB2312" w:eastAsia="仿宋_GB2312" w:cs="仿宋_GB2312"/>
          <w:b w:val="0"/>
          <w:bCs w:val="0"/>
          <w:kern w:val="0"/>
          <w:szCs w:val="32"/>
        </w:rPr>
      </w:pPr>
      <w:r>
        <w:rPr>
          <w:rStyle w:val="9"/>
          <w:rFonts w:hint="eastAsia" w:ascii="仿宋_GB2312" w:hAnsi="仿宋_GB2312" w:eastAsia="仿宋_GB2312" w:cs="仿宋_GB2312"/>
          <w:b w:val="0"/>
          <w:bCs w:val="0"/>
          <w:kern w:val="0"/>
          <w:szCs w:val="32"/>
        </w:rPr>
        <w:t>（一）会议通知（含会议议程）；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9"/>
          <w:rFonts w:hint="eastAsia" w:ascii="仿宋_GB2312" w:hAnsi="仿宋_GB2312" w:eastAsia="仿宋_GB2312" w:cs="仿宋_GB2312"/>
          <w:b w:val="0"/>
          <w:bCs w:val="0"/>
          <w:kern w:val="0"/>
          <w:szCs w:val="32"/>
        </w:rPr>
      </w:pPr>
      <w:r>
        <w:rPr>
          <w:rStyle w:val="9"/>
          <w:rFonts w:hint="eastAsia" w:ascii="仿宋_GB2312" w:hAnsi="仿宋_GB2312" w:eastAsia="仿宋_GB2312" w:cs="仿宋_GB2312"/>
          <w:b w:val="0"/>
          <w:bCs w:val="0"/>
          <w:kern w:val="0"/>
          <w:szCs w:val="32"/>
        </w:rPr>
        <w:t>（二）《郑州师范学院举办会议审批表》；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9"/>
          <w:rFonts w:hint="eastAsia" w:ascii="仿宋_GB2312" w:hAnsi="仿宋_GB2312" w:eastAsia="仿宋_GB2312" w:cs="仿宋_GB2312"/>
          <w:b w:val="0"/>
          <w:bCs w:val="0"/>
          <w:kern w:val="0"/>
          <w:szCs w:val="32"/>
        </w:rPr>
      </w:pPr>
      <w:r>
        <w:rPr>
          <w:rStyle w:val="9"/>
          <w:rFonts w:hint="eastAsia" w:ascii="仿宋_GB2312" w:hAnsi="仿宋_GB2312" w:eastAsia="仿宋_GB2312" w:cs="仿宋_GB2312"/>
          <w:b w:val="0"/>
          <w:bCs w:val="0"/>
          <w:kern w:val="0"/>
          <w:szCs w:val="32"/>
        </w:rPr>
        <w:t>（三）《郑州师范学院会议费决算表》；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9"/>
          <w:rFonts w:hint="eastAsia" w:ascii="仿宋_GB2312" w:hAnsi="仿宋_GB2312" w:eastAsia="仿宋_GB2312" w:cs="仿宋_GB2312"/>
          <w:b w:val="0"/>
          <w:bCs w:val="0"/>
          <w:kern w:val="0"/>
          <w:szCs w:val="32"/>
        </w:rPr>
      </w:pPr>
      <w:r>
        <w:rPr>
          <w:rStyle w:val="9"/>
          <w:rFonts w:hint="eastAsia" w:ascii="仿宋_GB2312" w:hAnsi="仿宋_GB2312" w:eastAsia="仿宋_GB2312" w:cs="仿宋_GB2312"/>
          <w:b w:val="0"/>
          <w:bCs w:val="0"/>
          <w:kern w:val="0"/>
          <w:szCs w:val="32"/>
        </w:rPr>
        <w:t>（四）实际参会人员签到表（如无法提供签到表，可提供参会人员名单、联系方式）；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9"/>
          <w:rFonts w:hint="eastAsia" w:ascii="仿宋_GB2312" w:hAnsi="仿宋_GB2312" w:eastAsia="仿宋_GB2312" w:cs="仿宋_GB2312"/>
          <w:b w:val="0"/>
          <w:bCs w:val="0"/>
          <w:kern w:val="0"/>
          <w:szCs w:val="32"/>
        </w:rPr>
      </w:pPr>
      <w:r>
        <w:rPr>
          <w:rStyle w:val="9"/>
          <w:rFonts w:hint="eastAsia" w:ascii="仿宋_GB2312" w:hAnsi="仿宋_GB2312" w:eastAsia="仿宋_GB2312" w:cs="仿宋_GB2312"/>
          <w:b w:val="0"/>
          <w:bCs w:val="0"/>
          <w:kern w:val="0"/>
          <w:szCs w:val="32"/>
        </w:rPr>
        <w:t>（五）会议服务单位提供的费用发票、原始明细单据、电子结算单、委托协议（合同）等资料。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Style w:val="9"/>
          <w:rFonts w:hint="eastAsia" w:ascii="黑体" w:hAnsi="黑体" w:eastAsia="黑体" w:cs="黑体"/>
          <w:b w:val="0"/>
          <w:kern w:val="0"/>
          <w:szCs w:val="32"/>
        </w:rPr>
        <w:t>第十七条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小额零星开支以外的费用，应当按照国库集中支付和公务卡管理的有关制度执行，采用银行转账或公务卡方式结算。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9"/>
          <w:rFonts w:hint="eastAsia" w:ascii="仿宋_GB2312" w:hAnsi="仿宋_GB2312" w:eastAsia="仿宋_GB2312" w:cs="仿宋_GB2312"/>
          <w:b w:val="0"/>
          <w:bCs w:val="0"/>
          <w:kern w:val="0"/>
          <w:szCs w:val="32"/>
        </w:rPr>
      </w:pPr>
      <w:r>
        <w:rPr>
          <w:rStyle w:val="9"/>
          <w:rFonts w:hint="eastAsia" w:ascii="黑体" w:hAnsi="黑体" w:eastAsia="黑体" w:cs="黑体"/>
          <w:b w:val="0"/>
          <w:kern w:val="0"/>
          <w:szCs w:val="32"/>
        </w:rPr>
        <w:t>第十八条</w:t>
      </w:r>
      <w:r>
        <w:rPr>
          <w:rStyle w:val="9"/>
          <w:rFonts w:hint="eastAsia" w:ascii="仿宋_GB2312" w:hAnsi="仿宋_GB2312" w:eastAsia="仿宋_GB2312" w:cs="仿宋_GB2312"/>
          <w:b w:val="0"/>
          <w:kern w:val="0"/>
          <w:szCs w:val="32"/>
        </w:rPr>
        <w:t xml:space="preserve">  </w:t>
      </w:r>
      <w:r>
        <w:rPr>
          <w:rStyle w:val="9"/>
          <w:rFonts w:hint="eastAsia" w:ascii="仿宋_GB2312" w:hAnsi="仿宋_GB2312" w:eastAsia="仿宋_GB2312" w:cs="仿宋_GB2312"/>
          <w:b w:val="0"/>
          <w:bCs w:val="0"/>
          <w:kern w:val="0"/>
          <w:szCs w:val="32"/>
        </w:rPr>
        <w:t>会议借款和报销应按会议费预算执行。财务部门要严格按规定审核会议费开支，会议费在开支范围内凭据报销，对超范围、超标准开支的经费不予报销。如实际支出超出预算，须在会议费报销单的特殊事项中予以披露，重新办理审批手续后准予报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szCs w:val="32"/>
        </w:rPr>
      </w:pPr>
      <w:r>
        <w:rPr>
          <w:rStyle w:val="9"/>
          <w:rFonts w:hint="eastAsia" w:ascii="黑体" w:hAnsi="黑体" w:eastAsia="黑体" w:cs="黑体"/>
          <w:b w:val="0"/>
          <w:kern w:val="0"/>
          <w:szCs w:val="32"/>
        </w:rPr>
        <w:t>第十九条</w:t>
      </w:r>
      <w:r>
        <w:rPr>
          <w:rStyle w:val="9"/>
          <w:rFonts w:hint="eastAsia" w:ascii="仿宋_GB2312" w:hAnsi="仿宋_GB2312" w:eastAsia="仿宋_GB2312" w:cs="仿宋_GB2312"/>
          <w:b w:val="0"/>
          <w:kern w:val="0"/>
          <w:szCs w:val="32"/>
        </w:rPr>
        <w:t xml:space="preserve">  </w:t>
      </w:r>
      <w:r>
        <w:rPr>
          <w:rFonts w:hint="eastAsia" w:ascii="仿宋_GB2312" w:hAnsi="仿宋_GB2312" w:eastAsia="仿宋_GB2312" w:cs="仿宋_GB2312"/>
          <w:kern w:val="0"/>
          <w:szCs w:val="32"/>
        </w:rPr>
        <w:t>会议劳务费（含咨询费、讲课费、勤工俭学等人员费用）的开支要规范管理，发放应采取银行转账等非现金方式支付，并依法缴纳个人所得税。在学校有工资收入的会议工作人员不得从会议费中开支劳务费。</w:t>
      </w: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auto"/>
        <w:rPr>
          <w:rFonts w:ascii="黑体" w:hAnsi="黑体" w:eastAsia="黑体"/>
          <w:kern w:val="0"/>
          <w:szCs w:val="32"/>
        </w:rPr>
      </w:pPr>
      <w:r>
        <w:rPr>
          <w:rFonts w:ascii="黑体" w:hAnsi="黑体" w:eastAsia="黑体"/>
          <w:kern w:val="0"/>
          <w:szCs w:val="32"/>
        </w:rPr>
        <w:t>第四章</w:t>
      </w:r>
      <w:r>
        <w:rPr>
          <w:rFonts w:hint="eastAsia" w:ascii="黑体" w:hAnsi="黑体" w:eastAsia="黑体"/>
          <w:kern w:val="0"/>
          <w:szCs w:val="32"/>
          <w:lang w:val="en-US" w:eastAsia="zh-CN"/>
        </w:rPr>
        <w:t xml:space="preserve">  </w:t>
      </w:r>
      <w:r>
        <w:rPr>
          <w:rFonts w:ascii="黑体" w:hAnsi="黑体" w:eastAsia="黑体"/>
          <w:kern w:val="0"/>
          <w:szCs w:val="32"/>
        </w:rPr>
        <w:t>监督与问责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Cs w:val="32"/>
        </w:rPr>
      </w:pPr>
      <w:r>
        <w:rPr>
          <w:rStyle w:val="9"/>
          <w:rFonts w:hint="eastAsia" w:ascii="黑体" w:hAnsi="黑体" w:eastAsia="黑体" w:cs="黑体"/>
          <w:b w:val="0"/>
          <w:kern w:val="0"/>
          <w:szCs w:val="32"/>
        </w:rPr>
        <w:t>第二十条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会议费收取和开支应严格执行“收支两条线”，严禁套取会议费私设“小金库”；严禁在会议费中列支公务接待费。各单位应严格执行会议费开支范围和标准，不得使用会议费购置电脑、复印机、打印机、传真机等固定资产以及开支与会议无关的其他费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Style w:val="9"/>
          <w:rFonts w:hint="eastAsia" w:ascii="黑体" w:hAnsi="黑体" w:eastAsia="黑体" w:cs="黑体"/>
          <w:b w:val="0"/>
          <w:kern w:val="0"/>
          <w:szCs w:val="32"/>
        </w:rPr>
        <w:t>第二十一条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各单位应严格执行会议用房标准，不得安排高档套房；会议用餐严格控制菜品种类、数量和份量，安排自助餐，严禁提供高档菜肴和烟酒；不得组织会议代表旅游和与会议无关的参观；严禁组织高消费娱乐、健身活动；严禁以任何名义发放纪念品；不得额外配发洗漱用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会场一律不摆花草绿植、不制作背景板、不提供水果和茶歇。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Style w:val="9"/>
          <w:rFonts w:hint="eastAsia" w:ascii="黑体" w:hAnsi="黑体" w:eastAsia="黑体" w:cs="黑体"/>
          <w:b w:val="0"/>
          <w:kern w:val="0"/>
          <w:szCs w:val="32"/>
        </w:rPr>
        <w:t>第二十二条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会议费的公示和信息公开工作，按照上级和学校相关规定执行。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Style w:val="9"/>
          <w:rFonts w:hint="eastAsia" w:ascii="黑体" w:hAnsi="黑体" w:eastAsia="黑体" w:cs="黑体"/>
          <w:b w:val="0"/>
          <w:kern w:val="0"/>
          <w:szCs w:val="32"/>
        </w:rPr>
        <w:t>第二十三条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各单位应当加强对本单位会议举办活动和经费报销的内控管理，对违反会议费管理制度的人员进行严肃处理，自觉接受学校有关部门对会议举办活动及相关经费支出的监督检查。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Style w:val="9"/>
          <w:rFonts w:hint="eastAsia" w:ascii="黑体" w:hAnsi="黑体" w:eastAsia="黑体" w:cs="黑体"/>
          <w:b w:val="0"/>
          <w:kern w:val="0"/>
          <w:szCs w:val="32"/>
        </w:rPr>
        <w:t>第二十四条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Cs w:val="32"/>
        </w:rPr>
        <w:t>学校纪检、审计、财务等部门对会议费管理和使用情况进行监督检查。主要内容包括：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（一）会议活动是否按规定履行审批手续；</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（二）会议费开支范围和标准是否符合规定；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（三）会议费报销手续是否符合规定；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（四）会议费管理和使用的其他情况。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对发现问题的单位和单位负责人，由学校纪检、审计、财务等部门责令改正，违规资金应予追回，并视情况给以纪律处分和追究法律责任。</w:t>
      </w:r>
    </w:p>
    <w:p>
      <w:pPr>
        <w:keepNext w:val="0"/>
        <w:keepLines w:val="0"/>
        <w:pageBreakBefore w:val="0"/>
        <w:widowControl/>
        <w:kinsoku/>
        <w:wordWrap/>
        <w:overflowPunct/>
        <w:topLinePunct w:val="0"/>
        <w:autoSpaceDE/>
        <w:autoSpaceDN/>
        <w:bidi w:val="0"/>
        <w:adjustRightInd/>
        <w:snapToGrid/>
        <w:spacing w:line="560" w:lineRule="exact"/>
        <w:ind w:firstLine="645"/>
        <w:jc w:val="center"/>
        <w:textAlignment w:val="auto"/>
        <w:rPr>
          <w:rFonts w:ascii="黑体" w:hAnsi="黑体" w:eastAsia="黑体"/>
          <w:kern w:val="0"/>
          <w:szCs w:val="32"/>
        </w:rPr>
      </w:pPr>
      <w:r>
        <w:rPr>
          <w:rFonts w:ascii="黑体" w:hAnsi="黑体" w:eastAsia="黑体"/>
          <w:kern w:val="0"/>
          <w:szCs w:val="32"/>
        </w:rPr>
        <w:t>第五章</w:t>
      </w:r>
      <w:r>
        <w:rPr>
          <w:rFonts w:hint="eastAsia" w:ascii="黑体" w:hAnsi="黑体" w:eastAsia="黑体"/>
          <w:kern w:val="0"/>
          <w:szCs w:val="32"/>
          <w:lang w:val="en-US" w:eastAsia="zh-CN"/>
        </w:rPr>
        <w:t xml:space="preserve">  </w:t>
      </w:r>
      <w:r>
        <w:rPr>
          <w:rFonts w:ascii="黑体" w:hAnsi="黑体" w:eastAsia="黑体"/>
          <w:kern w:val="0"/>
          <w:szCs w:val="32"/>
        </w:rPr>
        <w:t>附</w:t>
      </w:r>
      <w:r>
        <w:rPr>
          <w:rFonts w:hint="eastAsia" w:ascii="黑体" w:hAnsi="黑体" w:eastAsia="黑体"/>
          <w:kern w:val="0"/>
          <w:szCs w:val="32"/>
          <w:lang w:val="en-US" w:eastAsia="zh-CN"/>
        </w:rPr>
        <w:t xml:space="preserve">  </w:t>
      </w:r>
      <w:r>
        <w:rPr>
          <w:rFonts w:ascii="黑体" w:hAnsi="黑体" w:eastAsia="黑体"/>
          <w:kern w:val="0"/>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Style w:val="9"/>
          <w:rFonts w:hint="eastAsia" w:ascii="黑体" w:hAnsi="黑体" w:eastAsia="黑体" w:cs="黑体"/>
          <w:b w:val="0"/>
          <w:kern w:val="0"/>
          <w:szCs w:val="32"/>
        </w:rPr>
        <w:t>第二十五条</w:t>
      </w:r>
      <w:r>
        <w:rPr>
          <w:rStyle w:val="9"/>
          <w:rFonts w:hint="eastAsia" w:ascii="黑体" w:hAnsi="黑体" w:eastAsia="黑体" w:cs="黑体"/>
          <w:b w:val="0"/>
          <w:kern w:val="0"/>
          <w:szCs w:val="32"/>
          <w:lang w:val="en-US" w:eastAsia="zh-CN"/>
        </w:rPr>
        <w:t xml:space="preserve">  </w:t>
      </w:r>
      <w:r>
        <w:rPr>
          <w:rFonts w:hint="eastAsia" w:ascii="仿宋_GB2312" w:hAnsi="仿宋_GB2312" w:cs="仿宋_GB2312"/>
          <w:kern w:val="0"/>
          <w:szCs w:val="32"/>
        </w:rPr>
        <w:t>会议费综合定额标准根据上级有关规定进行动态调整。</w:t>
      </w:r>
    </w:p>
    <w:p>
      <w:pPr>
        <w:pStyle w:val="5"/>
        <w:keepNext w:val="0"/>
        <w:keepLines w:val="0"/>
        <w:pageBreakBefore w:val="0"/>
        <w:widowControl/>
        <w:kinsoku/>
        <w:wordWrap/>
        <w:overflowPunct/>
        <w:topLinePunct w:val="0"/>
        <w:autoSpaceDE w:val="0"/>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Style w:val="9"/>
          <w:rFonts w:hint="eastAsia" w:ascii="黑体" w:hAnsi="黑体" w:eastAsia="黑体" w:cs="黑体"/>
          <w:b w:val="0"/>
          <w:color w:val="auto"/>
          <w:kern w:val="0"/>
          <w:sz w:val="32"/>
          <w:szCs w:val="32"/>
          <w:lang w:val="en-US" w:eastAsia="zh-CN" w:bidi="ar-SA"/>
        </w:rPr>
        <w:t>第二十六条</w:t>
      </w:r>
      <w:r>
        <w:rPr>
          <w:rStyle w:val="9"/>
          <w:rFonts w:hint="eastAsia" w:ascii="黑体" w:hAnsi="黑体" w:eastAsia="黑体" w:cs="黑体"/>
          <w:b w:val="0"/>
          <w:kern w:val="0"/>
          <w:szCs w:val="32"/>
          <w:lang w:val="en-US" w:eastAsia="zh-CN"/>
        </w:rPr>
        <w:t xml:space="preserve">  </w:t>
      </w:r>
      <w:r>
        <w:rPr>
          <w:rFonts w:hint="eastAsia" w:ascii="仿宋_GB2312" w:hAnsi="仿宋_GB2312" w:eastAsia="仿宋_GB2312" w:cs="仿宋_GB2312"/>
          <w:kern w:val="0"/>
          <w:sz w:val="32"/>
          <w:szCs w:val="32"/>
        </w:rPr>
        <w:t>本办法自印发之日起施行，</w:t>
      </w:r>
      <w:r>
        <w:rPr>
          <w:rFonts w:hint="eastAsia" w:ascii="仿宋_GB2312" w:hAnsi="仿宋_GB2312" w:eastAsia="仿宋_GB2312" w:cs="仿宋_GB2312"/>
          <w:sz w:val="32"/>
          <w:szCs w:val="32"/>
        </w:rPr>
        <w:t>原《郑州师范学院</w:t>
      </w:r>
      <w:r>
        <w:rPr>
          <w:rFonts w:hint="eastAsia" w:ascii="仿宋_GB2312" w:hAnsi="仿宋_GB2312" w:eastAsia="仿宋_GB2312" w:cs="仿宋_GB2312"/>
          <w:sz w:val="32"/>
          <w:szCs w:val="32"/>
          <w:lang w:val="en-US" w:eastAsia="zh-CN"/>
        </w:rPr>
        <w:t>会议费</w:t>
      </w:r>
      <w:r>
        <w:rPr>
          <w:rFonts w:hint="eastAsia" w:ascii="仿宋_GB2312" w:hAnsi="仿宋_GB2312" w:eastAsia="仿宋_GB2312" w:cs="仿宋_GB2312"/>
          <w:sz w:val="32"/>
          <w:szCs w:val="32"/>
        </w:rPr>
        <w:t>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校办财</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 xml:space="preserve">号）废止。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szCs w:val="32"/>
        </w:rPr>
      </w:pPr>
      <w:r>
        <w:rPr>
          <w:rFonts w:hint="eastAsia" w:ascii="仿宋_GB2312" w:hAnsi="仿宋_GB2312" w:cs="仿宋_GB2312"/>
          <w:kern w:val="0"/>
          <w:szCs w:val="32"/>
        </w:rPr>
        <w:t>本办法由党政办公室、财务处负责解释。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cs="仿宋_GB2312"/>
          <w:kern w:val="0"/>
          <w:szCs w:val="32"/>
        </w:rPr>
      </w:pPr>
    </w:p>
    <w:p>
      <w:pPr>
        <w:pStyle w:val="11"/>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仿宋" w:hAnsi="仿宋" w:eastAsia="仿宋" w:cs="黑体"/>
          <w:sz w:val="32"/>
          <w:szCs w:val="32"/>
        </w:rPr>
      </w:pPr>
      <w:r>
        <w:rPr>
          <w:rStyle w:val="9"/>
          <w:rFonts w:hint="eastAsia" w:ascii="仿宋" w:hAnsi="仿宋" w:eastAsia="仿宋" w:cs="黑体"/>
          <w:b w:val="0"/>
          <w:sz w:val="32"/>
          <w:szCs w:val="32"/>
        </w:rPr>
        <w:t>附件：1、郑州师范学院举办会议审批表</w:t>
      </w:r>
    </w:p>
    <w:p>
      <w:pPr>
        <w:pStyle w:val="11"/>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Style w:val="9"/>
          <w:rFonts w:ascii="仿宋" w:hAnsi="仿宋" w:eastAsia="仿宋" w:cs="仿宋"/>
          <w:b w:val="0"/>
          <w:bCs w:val="0"/>
          <w:sz w:val="32"/>
          <w:szCs w:val="32"/>
        </w:rPr>
      </w:pPr>
      <w:r>
        <w:rPr>
          <w:rFonts w:hint="eastAsia" w:ascii="仿宋" w:hAnsi="仿宋" w:eastAsia="仿宋" w:cs="仿宋"/>
          <w:sz w:val="32"/>
          <w:szCs w:val="32"/>
        </w:rPr>
        <w:t xml:space="preserve">          2、</w:t>
      </w:r>
      <w:r>
        <w:rPr>
          <w:rStyle w:val="9"/>
          <w:rFonts w:hint="eastAsia" w:ascii="仿宋" w:hAnsi="仿宋" w:eastAsia="仿宋" w:cs="黑体"/>
          <w:b w:val="0"/>
          <w:sz w:val="32"/>
          <w:szCs w:val="32"/>
        </w:rPr>
        <w:t>郑州师范学院会议费决算表</w:t>
      </w:r>
    </w:p>
    <w:p>
      <w:pPr>
        <w:pStyle w:val="5"/>
        <w:spacing w:beforeAutospacing="0" w:afterAutospacing="0"/>
        <w:ind w:firstLine="640" w:firstLineChars="200"/>
        <w:rPr>
          <w:rFonts w:ascii="仿宋_GB2312" w:eastAsia="仿宋_GB2312"/>
          <w:color w:val="auto"/>
          <w:sz w:val="32"/>
          <w:szCs w:val="32"/>
        </w:rPr>
      </w:pPr>
    </w:p>
    <w:p>
      <w:pPr>
        <w:pStyle w:val="5"/>
        <w:spacing w:beforeAutospacing="0" w:afterAutospacing="0"/>
        <w:ind w:firstLine="640" w:firstLineChars="200"/>
        <w:rPr>
          <w:rFonts w:ascii="仿宋_GB2312" w:eastAsia="仿宋_GB2312"/>
          <w:color w:val="auto"/>
          <w:sz w:val="32"/>
          <w:szCs w:val="32"/>
        </w:rPr>
      </w:pPr>
      <w:bookmarkStart w:id="25" w:name="_GoBack"/>
      <w:bookmarkEnd w:id="25"/>
    </w:p>
    <w:p>
      <w:pPr>
        <w:pStyle w:val="5"/>
        <w:spacing w:beforeAutospacing="0" w:afterAutospacing="0"/>
        <w:ind w:firstLine="640" w:firstLineChars="200"/>
        <w:rPr>
          <w:rFonts w:ascii="仿宋_GB2312" w:eastAsia="仿宋_GB2312"/>
          <w:color w:val="auto"/>
          <w:sz w:val="32"/>
          <w:szCs w:val="32"/>
        </w:rPr>
      </w:pPr>
    </w:p>
    <w:p>
      <w:pPr>
        <w:autoSpaceDE w:val="0"/>
        <w:autoSpaceDN w:val="0"/>
        <w:adjustRightInd w:val="0"/>
        <w:snapToGrid w:val="0"/>
        <w:spacing w:line="580" w:lineRule="exact"/>
        <w:ind w:firstLine="5120" w:firstLineChars="1600"/>
        <w:jc w:val="left"/>
        <w:rPr>
          <w:rFonts w:hint="eastAsia" w:ascii="仿宋_GB2312" w:eastAsia="仿宋_GB2312"/>
          <w:sz w:val="32"/>
          <w:szCs w:val="44"/>
        </w:rPr>
      </w:pPr>
      <w:r>
        <w:rPr>
          <w:rFonts w:hint="eastAsia" w:ascii="仿宋_GB2312" w:eastAsia="仿宋_GB2312"/>
          <w:sz w:val="32"/>
          <w:szCs w:val="44"/>
        </w:rPr>
        <w:t>郑州师范学院</w:t>
      </w:r>
    </w:p>
    <w:p>
      <w:pPr>
        <w:pStyle w:val="5"/>
        <w:spacing w:beforeAutospacing="0" w:afterAutospacing="0"/>
        <w:ind w:firstLine="640" w:firstLineChars="200"/>
        <w:rPr>
          <w:rFonts w:ascii="仿宋_GB2312" w:eastAsia="仿宋_GB2312"/>
          <w:color w:val="auto"/>
          <w:sz w:val="32"/>
          <w:szCs w:val="32"/>
        </w:rPr>
      </w:pPr>
      <w:r>
        <w:rPr>
          <w:rFonts w:hint="eastAsia" w:ascii="仿宋_GB2312" w:eastAsia="仿宋_GB2312"/>
          <w:sz w:val="32"/>
          <w:szCs w:val="44"/>
        </w:rPr>
        <w:t xml:space="preserve">                            20</w:t>
      </w:r>
      <w:r>
        <w:rPr>
          <w:rFonts w:hint="eastAsia" w:ascii="仿宋_GB2312"/>
          <w:sz w:val="32"/>
          <w:szCs w:val="44"/>
          <w:lang w:val="en-US" w:eastAsia="zh-CN"/>
        </w:rPr>
        <w:t>21</w:t>
      </w:r>
      <w:r>
        <w:rPr>
          <w:rFonts w:hint="eastAsia" w:ascii="仿宋_GB2312" w:eastAsia="仿宋_GB2312"/>
          <w:sz w:val="32"/>
          <w:szCs w:val="44"/>
        </w:rPr>
        <w:t>年</w:t>
      </w:r>
      <w:r>
        <w:rPr>
          <w:rFonts w:hint="eastAsia" w:ascii="仿宋_GB2312"/>
          <w:sz w:val="32"/>
          <w:szCs w:val="44"/>
          <w:lang w:val="en-US" w:eastAsia="zh-CN"/>
        </w:rPr>
        <w:t>11</w:t>
      </w:r>
      <w:r>
        <w:rPr>
          <w:rFonts w:hint="eastAsia" w:ascii="仿宋_GB2312" w:eastAsia="仿宋_GB2312"/>
          <w:sz w:val="32"/>
          <w:szCs w:val="44"/>
        </w:rPr>
        <w:t>月</w:t>
      </w:r>
      <w:r>
        <w:rPr>
          <w:rFonts w:hint="eastAsia" w:ascii="仿宋_GB2312"/>
          <w:sz w:val="32"/>
          <w:szCs w:val="44"/>
          <w:lang w:val="en-US" w:eastAsia="zh-CN"/>
        </w:rPr>
        <w:t>2</w:t>
      </w:r>
      <w:r>
        <w:rPr>
          <w:rFonts w:hint="eastAsia" w:ascii="仿宋_GB2312" w:eastAsia="仿宋_GB2312"/>
          <w:sz w:val="32"/>
          <w:szCs w:val="44"/>
          <w:lang w:val="en-US" w:eastAsia="zh-CN"/>
        </w:rPr>
        <w:t>4</w:t>
      </w:r>
      <w:r>
        <w:rPr>
          <w:rFonts w:hint="eastAsia" w:ascii="仿宋_GB2312" w:eastAsia="仿宋_GB2312"/>
          <w:sz w:val="32"/>
          <w:szCs w:val="44"/>
        </w:rPr>
        <w:t>日</w:t>
      </w:r>
    </w:p>
    <w:p>
      <w:pPr>
        <w:pStyle w:val="5"/>
        <w:spacing w:beforeAutospacing="0" w:afterAutospacing="0"/>
        <w:rPr>
          <w:rFonts w:ascii="仿宋_GB2312" w:eastAsia="仿宋_GB2312"/>
          <w:color w:val="auto"/>
          <w:sz w:val="32"/>
          <w:szCs w:val="32"/>
        </w:rPr>
      </w:pPr>
    </w:p>
    <w:p>
      <w:pPr>
        <w:pStyle w:val="11"/>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both"/>
        <w:textAlignment w:val="auto"/>
        <w:rPr>
          <w:rStyle w:val="9"/>
          <w:rFonts w:ascii="黑体" w:hAnsi="黑体" w:eastAsia="黑体" w:cs="黑体"/>
          <w:b w:val="0"/>
          <w:sz w:val="32"/>
          <w:szCs w:val="32"/>
        </w:rPr>
      </w:pPr>
      <w:bookmarkStart w:id="0" w:name="OLE_LINK36"/>
      <w:r>
        <w:rPr>
          <w:rStyle w:val="9"/>
          <w:rFonts w:hint="eastAsia" w:ascii="黑体" w:hAnsi="黑体" w:eastAsia="黑体" w:cs="黑体"/>
          <w:b w:val="0"/>
          <w:sz w:val="32"/>
          <w:szCs w:val="32"/>
        </w:rPr>
        <w:t>附件1：</w:t>
      </w:r>
    </w:p>
    <w:p>
      <w:pPr>
        <w:pStyle w:val="11"/>
        <w:spacing w:beforeAutospacing="0" w:afterAutospacing="0"/>
        <w:ind w:left="300" w:firstLine="640" w:firstLineChars="200"/>
        <w:jc w:val="center"/>
        <w:rPr>
          <w:rFonts w:ascii="宋体" w:hAnsi="宋体" w:cs="黑体"/>
          <w:sz w:val="32"/>
          <w:szCs w:val="32"/>
        </w:rPr>
      </w:pPr>
      <w:r>
        <w:rPr>
          <w:rStyle w:val="9"/>
          <w:rFonts w:hint="eastAsia" w:ascii="方正小标宋简体" w:hAnsi="方正小标宋简体" w:eastAsia="方正小标宋简体" w:cs="方正小标宋简体"/>
          <w:b w:val="0"/>
          <w:bCs w:val="0"/>
          <w:sz w:val="32"/>
          <w:szCs w:val="32"/>
        </w:rPr>
        <w:t>郑州师范学院举办会议审批表</w:t>
      </w:r>
    </w:p>
    <w:p>
      <w:pPr>
        <w:pStyle w:val="11"/>
        <w:spacing w:beforeAutospacing="0" w:afterAutospacing="0"/>
        <w:rPr>
          <w:rFonts w:ascii="仿宋_GB2312" w:eastAsia="仿宋_GB2312"/>
        </w:rPr>
      </w:pPr>
      <w:bookmarkStart w:id="1" w:name="OLE_LINK44"/>
      <w:r>
        <w:rPr>
          <w:rFonts w:hint="eastAsia" w:ascii="仿宋_GB2312" w:hAnsi="宋体" w:eastAsia="仿宋_GB2312" w:cs="宋体"/>
        </w:rPr>
        <w:t>申请单位：</w:t>
      </w:r>
    </w:p>
    <w:bookmarkEnd w:id="1"/>
    <w:tbl>
      <w:tblPr>
        <w:tblStyle w:val="7"/>
        <w:tblW w:w="87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64"/>
        <w:gridCol w:w="567"/>
        <w:gridCol w:w="319"/>
        <w:gridCol w:w="1524"/>
        <w:gridCol w:w="1101"/>
        <w:gridCol w:w="33"/>
        <w:gridCol w:w="870"/>
        <w:gridCol w:w="702"/>
        <w:gridCol w:w="28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1650" w:type="dxa"/>
            <w:gridSpan w:val="3"/>
            <w:vAlign w:val="center"/>
          </w:tcPr>
          <w:p>
            <w:pPr>
              <w:jc w:val="center"/>
              <w:rPr>
                <w:rFonts w:ascii="仿宋_GB2312"/>
                <w:sz w:val="24"/>
              </w:rPr>
            </w:pPr>
            <w:r>
              <w:rPr>
                <w:rFonts w:hint="eastAsia" w:ascii="仿宋_GB2312"/>
                <w:sz w:val="24"/>
              </w:rPr>
              <w:t>会议名称</w:t>
            </w:r>
          </w:p>
        </w:tc>
        <w:tc>
          <w:tcPr>
            <w:tcW w:w="7050" w:type="dxa"/>
            <w:gridSpan w:val="6"/>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1650" w:type="dxa"/>
            <w:gridSpan w:val="3"/>
            <w:vAlign w:val="center"/>
          </w:tcPr>
          <w:p>
            <w:pPr>
              <w:jc w:val="center"/>
              <w:rPr>
                <w:rFonts w:ascii="仿宋_GB2312"/>
                <w:sz w:val="24"/>
              </w:rPr>
            </w:pPr>
            <w:r>
              <w:rPr>
                <w:rFonts w:hint="eastAsia" w:ascii="仿宋_GB2312"/>
                <w:sz w:val="24"/>
              </w:rPr>
              <w:t>会议类别</w:t>
            </w:r>
          </w:p>
        </w:tc>
        <w:tc>
          <w:tcPr>
            <w:tcW w:w="2625" w:type="dxa"/>
            <w:gridSpan w:val="2"/>
            <w:vAlign w:val="center"/>
          </w:tcPr>
          <w:p>
            <w:pPr>
              <w:jc w:val="center"/>
              <w:rPr>
                <w:rFonts w:ascii="仿宋_GB2312"/>
                <w:sz w:val="24"/>
              </w:rPr>
            </w:pPr>
          </w:p>
        </w:tc>
        <w:tc>
          <w:tcPr>
            <w:tcW w:w="1605" w:type="dxa"/>
            <w:gridSpan w:val="3"/>
            <w:vAlign w:val="center"/>
          </w:tcPr>
          <w:p>
            <w:pPr>
              <w:jc w:val="center"/>
              <w:rPr>
                <w:rFonts w:ascii="仿宋_GB2312"/>
                <w:sz w:val="24"/>
              </w:rPr>
            </w:pPr>
            <w:r>
              <w:rPr>
                <w:rFonts w:hint="eastAsia" w:ascii="仿宋_GB2312"/>
                <w:sz w:val="24"/>
              </w:rPr>
              <w:t>会议地点</w:t>
            </w:r>
          </w:p>
        </w:tc>
        <w:tc>
          <w:tcPr>
            <w:tcW w:w="2820" w:type="dxa"/>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1650" w:type="dxa"/>
            <w:gridSpan w:val="3"/>
            <w:vAlign w:val="center"/>
          </w:tcPr>
          <w:p>
            <w:pPr>
              <w:jc w:val="center"/>
              <w:rPr>
                <w:rFonts w:ascii="仿宋_GB2312"/>
                <w:sz w:val="24"/>
              </w:rPr>
            </w:pPr>
            <w:r>
              <w:rPr>
                <w:rFonts w:hint="eastAsia" w:ascii="仿宋_GB2312"/>
                <w:sz w:val="24"/>
              </w:rPr>
              <w:t>会议日期</w:t>
            </w:r>
          </w:p>
        </w:tc>
        <w:tc>
          <w:tcPr>
            <w:tcW w:w="2625" w:type="dxa"/>
            <w:gridSpan w:val="2"/>
            <w:vAlign w:val="center"/>
          </w:tcPr>
          <w:p>
            <w:pPr>
              <w:jc w:val="center"/>
              <w:rPr>
                <w:rFonts w:ascii="仿宋_GB2312"/>
                <w:sz w:val="24"/>
              </w:rPr>
            </w:pPr>
          </w:p>
        </w:tc>
        <w:tc>
          <w:tcPr>
            <w:tcW w:w="1605" w:type="dxa"/>
            <w:gridSpan w:val="3"/>
            <w:vAlign w:val="center"/>
          </w:tcPr>
          <w:p>
            <w:pPr>
              <w:jc w:val="center"/>
              <w:rPr>
                <w:rFonts w:ascii="仿宋_GB2312"/>
                <w:sz w:val="24"/>
              </w:rPr>
            </w:pPr>
            <w:r>
              <w:rPr>
                <w:rFonts w:hint="eastAsia" w:ascii="仿宋_GB2312"/>
                <w:sz w:val="24"/>
              </w:rPr>
              <w:t>会议天数</w:t>
            </w:r>
          </w:p>
        </w:tc>
        <w:tc>
          <w:tcPr>
            <w:tcW w:w="2820" w:type="dxa"/>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1650" w:type="dxa"/>
            <w:gridSpan w:val="3"/>
            <w:vAlign w:val="center"/>
          </w:tcPr>
          <w:p>
            <w:pPr>
              <w:jc w:val="center"/>
              <w:rPr>
                <w:rFonts w:ascii="仿宋_GB2312"/>
                <w:sz w:val="24"/>
              </w:rPr>
            </w:pPr>
            <w:r>
              <w:rPr>
                <w:rFonts w:hint="eastAsia" w:ascii="仿宋_GB2312"/>
                <w:sz w:val="24"/>
              </w:rPr>
              <w:t>代表人数</w:t>
            </w:r>
          </w:p>
        </w:tc>
        <w:tc>
          <w:tcPr>
            <w:tcW w:w="2625" w:type="dxa"/>
            <w:gridSpan w:val="2"/>
            <w:vAlign w:val="center"/>
          </w:tcPr>
          <w:p>
            <w:pPr>
              <w:jc w:val="center"/>
              <w:rPr>
                <w:rFonts w:ascii="仿宋_GB2312"/>
                <w:sz w:val="24"/>
              </w:rPr>
            </w:pPr>
          </w:p>
        </w:tc>
        <w:tc>
          <w:tcPr>
            <w:tcW w:w="1605" w:type="dxa"/>
            <w:gridSpan w:val="3"/>
            <w:vAlign w:val="center"/>
          </w:tcPr>
          <w:p>
            <w:pPr>
              <w:jc w:val="center"/>
              <w:rPr>
                <w:rFonts w:ascii="仿宋_GB2312"/>
                <w:sz w:val="24"/>
              </w:rPr>
            </w:pPr>
            <w:r>
              <w:rPr>
                <w:rFonts w:hint="eastAsia" w:ascii="仿宋_GB2312"/>
                <w:sz w:val="24"/>
              </w:rPr>
              <w:t>工作人员数</w:t>
            </w:r>
          </w:p>
        </w:tc>
        <w:tc>
          <w:tcPr>
            <w:tcW w:w="2820" w:type="dxa"/>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6" w:hRule="atLeast"/>
        </w:trPr>
        <w:tc>
          <w:tcPr>
            <w:tcW w:w="1650" w:type="dxa"/>
            <w:gridSpan w:val="3"/>
            <w:vAlign w:val="center"/>
          </w:tcPr>
          <w:p>
            <w:pPr>
              <w:jc w:val="center"/>
              <w:rPr>
                <w:rFonts w:ascii="仿宋_GB2312"/>
                <w:sz w:val="24"/>
              </w:rPr>
            </w:pPr>
            <w:r>
              <w:rPr>
                <w:rFonts w:hint="eastAsia" w:ascii="仿宋_GB2312"/>
                <w:sz w:val="24"/>
              </w:rPr>
              <w:t>主要内容</w:t>
            </w:r>
          </w:p>
        </w:tc>
        <w:tc>
          <w:tcPr>
            <w:tcW w:w="7050" w:type="dxa"/>
            <w:gridSpan w:val="6"/>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7" w:hRule="atLeast"/>
        </w:trPr>
        <w:tc>
          <w:tcPr>
            <w:tcW w:w="1650" w:type="dxa"/>
            <w:gridSpan w:val="3"/>
            <w:vAlign w:val="center"/>
          </w:tcPr>
          <w:p>
            <w:pPr>
              <w:jc w:val="center"/>
              <w:rPr>
                <w:rFonts w:ascii="仿宋_GB2312"/>
                <w:sz w:val="24"/>
              </w:rPr>
            </w:pPr>
            <w:r>
              <w:rPr>
                <w:rFonts w:hint="eastAsia" w:ascii="仿宋_GB2312"/>
                <w:sz w:val="24"/>
              </w:rPr>
              <w:t>经费来源</w:t>
            </w:r>
          </w:p>
        </w:tc>
        <w:tc>
          <w:tcPr>
            <w:tcW w:w="7050" w:type="dxa"/>
            <w:gridSpan w:val="6"/>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restart"/>
            <w:vAlign w:val="center"/>
          </w:tcPr>
          <w:p>
            <w:pPr>
              <w:jc w:val="center"/>
              <w:rPr>
                <w:rFonts w:ascii="仿宋_GB2312"/>
                <w:sz w:val="24"/>
              </w:rPr>
            </w:pPr>
            <w:r>
              <w:rPr>
                <w:rFonts w:hint="eastAsia" w:ascii="仿宋_GB2312"/>
                <w:sz w:val="24"/>
              </w:rPr>
              <w:t>会</w:t>
            </w:r>
          </w:p>
          <w:p>
            <w:pPr>
              <w:jc w:val="center"/>
              <w:rPr>
                <w:rFonts w:ascii="仿宋_GB2312"/>
                <w:sz w:val="24"/>
              </w:rPr>
            </w:pPr>
            <w:r>
              <w:rPr>
                <w:rFonts w:hint="eastAsia" w:ascii="仿宋_GB2312"/>
                <w:sz w:val="24"/>
              </w:rPr>
              <w:t>议</w:t>
            </w:r>
          </w:p>
          <w:p>
            <w:pPr>
              <w:jc w:val="center"/>
              <w:rPr>
                <w:rFonts w:ascii="仿宋_GB2312"/>
                <w:sz w:val="24"/>
              </w:rPr>
            </w:pPr>
            <w:r>
              <w:rPr>
                <w:rFonts w:hint="eastAsia" w:ascii="仿宋_GB2312"/>
                <w:sz w:val="24"/>
              </w:rPr>
              <w:t>费</w:t>
            </w:r>
          </w:p>
          <w:p>
            <w:pPr>
              <w:jc w:val="center"/>
              <w:rPr>
                <w:rFonts w:ascii="仿宋_GB2312"/>
                <w:sz w:val="24"/>
              </w:rPr>
            </w:pPr>
            <w:r>
              <w:rPr>
                <w:rFonts w:hint="eastAsia" w:ascii="仿宋_GB2312"/>
                <w:sz w:val="24"/>
              </w:rPr>
              <w:t>预</w:t>
            </w:r>
          </w:p>
          <w:p>
            <w:pPr>
              <w:jc w:val="center"/>
              <w:rPr>
                <w:rFonts w:ascii="仿宋_GB2312"/>
                <w:sz w:val="24"/>
              </w:rPr>
            </w:pPr>
            <w:r>
              <w:rPr>
                <w:rFonts w:hint="eastAsia" w:ascii="仿宋_GB2312"/>
                <w:sz w:val="24"/>
              </w:rPr>
              <w:t>算</w:t>
            </w:r>
          </w:p>
        </w:tc>
        <w:tc>
          <w:tcPr>
            <w:tcW w:w="2410" w:type="dxa"/>
            <w:gridSpan w:val="3"/>
            <w:vAlign w:val="center"/>
          </w:tcPr>
          <w:p>
            <w:pPr>
              <w:jc w:val="center"/>
              <w:rPr>
                <w:rFonts w:ascii="仿宋_GB2312"/>
                <w:sz w:val="24"/>
              </w:rPr>
            </w:pPr>
            <w:r>
              <w:rPr>
                <w:rFonts w:hint="eastAsia" w:ascii="仿宋_GB2312"/>
                <w:sz w:val="24"/>
              </w:rPr>
              <w:t>费用类别</w:t>
            </w:r>
          </w:p>
        </w:tc>
        <w:tc>
          <w:tcPr>
            <w:tcW w:w="1134" w:type="dxa"/>
            <w:gridSpan w:val="2"/>
            <w:vAlign w:val="center"/>
          </w:tcPr>
          <w:p>
            <w:pPr>
              <w:jc w:val="center"/>
              <w:rPr>
                <w:rFonts w:ascii="仿宋_GB2312"/>
                <w:sz w:val="24"/>
              </w:rPr>
            </w:pPr>
            <w:r>
              <w:rPr>
                <w:rFonts w:hint="eastAsia" w:ascii="仿宋_GB2312"/>
                <w:sz w:val="24"/>
              </w:rPr>
              <w:t>金额（元）</w:t>
            </w:r>
          </w:p>
        </w:tc>
        <w:tc>
          <w:tcPr>
            <w:tcW w:w="4392" w:type="dxa"/>
            <w:gridSpan w:val="3"/>
            <w:vAlign w:val="center"/>
          </w:tcPr>
          <w:p>
            <w:pPr>
              <w:jc w:val="center"/>
              <w:rPr>
                <w:rFonts w:ascii="仿宋_GB2312"/>
                <w:sz w:val="24"/>
              </w:rPr>
            </w:pPr>
            <w:r>
              <w:rPr>
                <w:rFonts w:hint="eastAsia" w:ascii="仿宋_GB2312"/>
                <w:sz w:val="24"/>
              </w:rPr>
              <w:t>预算说明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restart"/>
            <w:vAlign w:val="center"/>
          </w:tcPr>
          <w:p>
            <w:pPr>
              <w:jc w:val="center"/>
              <w:rPr>
                <w:rFonts w:ascii="仿宋_GB2312"/>
                <w:sz w:val="24"/>
              </w:rPr>
            </w:pPr>
            <w:r>
              <w:rPr>
                <w:rFonts w:hint="eastAsia" w:ascii="仿宋_GB2312"/>
                <w:sz w:val="24"/>
              </w:rPr>
              <w:t>支出</w:t>
            </w:r>
          </w:p>
          <w:p>
            <w:pPr>
              <w:jc w:val="center"/>
              <w:rPr>
                <w:rFonts w:ascii="仿宋_GB2312"/>
                <w:sz w:val="24"/>
              </w:rPr>
            </w:pPr>
            <w:r>
              <w:rPr>
                <w:rFonts w:hint="eastAsia" w:ascii="仿宋_GB2312"/>
                <w:sz w:val="24"/>
              </w:rPr>
              <w:t>预算</w:t>
            </w:r>
          </w:p>
        </w:tc>
        <w:tc>
          <w:tcPr>
            <w:tcW w:w="1843" w:type="dxa"/>
            <w:gridSpan w:val="2"/>
            <w:vAlign w:val="center"/>
          </w:tcPr>
          <w:p>
            <w:pPr>
              <w:jc w:val="center"/>
              <w:rPr>
                <w:rFonts w:ascii="仿宋_GB2312"/>
                <w:sz w:val="24"/>
              </w:rPr>
            </w:pPr>
            <w:r>
              <w:rPr>
                <w:rFonts w:hint="eastAsia" w:ascii="仿宋_GB2312"/>
                <w:sz w:val="24"/>
              </w:rPr>
              <w:t>住宿费</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hint="eastAsia" w:ascii="仿宋_GB2312"/>
                <w:sz w:val="24"/>
              </w:rPr>
              <w:t>伙食费</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hint="eastAsia" w:ascii="仿宋_GB2312"/>
                <w:sz w:val="24"/>
              </w:rPr>
              <w:t>会议室租金</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hint="eastAsia" w:ascii="仿宋_GB2312"/>
                <w:sz w:val="24"/>
              </w:rPr>
              <w:t>印刷费</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hint="eastAsia" w:ascii="仿宋_GB2312"/>
                <w:sz w:val="24"/>
              </w:rPr>
              <w:t>交通费</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hint="eastAsia" w:ascii="仿宋_GB2312"/>
                <w:sz w:val="24"/>
              </w:rPr>
              <w:t>其他支出</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ascii="仿宋_GB2312"/>
                <w:sz w:val="24"/>
              </w:rPr>
              <w:t>合计</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restart"/>
            <w:vAlign w:val="center"/>
          </w:tcPr>
          <w:p>
            <w:pPr>
              <w:jc w:val="center"/>
              <w:rPr>
                <w:rFonts w:ascii="仿宋_GB2312"/>
                <w:sz w:val="24"/>
              </w:rPr>
            </w:pPr>
            <w:r>
              <w:rPr>
                <w:rFonts w:hint="eastAsia" w:ascii="仿宋_GB2312"/>
                <w:sz w:val="24"/>
              </w:rPr>
              <w:t>收入</w:t>
            </w:r>
          </w:p>
          <w:p>
            <w:pPr>
              <w:jc w:val="center"/>
              <w:rPr>
                <w:rFonts w:ascii="仿宋_GB2312"/>
                <w:sz w:val="24"/>
              </w:rPr>
            </w:pPr>
            <w:r>
              <w:rPr>
                <w:rFonts w:hint="eastAsia" w:ascii="仿宋_GB2312"/>
                <w:sz w:val="24"/>
              </w:rPr>
              <w:t>预算</w:t>
            </w:r>
          </w:p>
        </w:tc>
        <w:tc>
          <w:tcPr>
            <w:tcW w:w="1843" w:type="dxa"/>
            <w:gridSpan w:val="2"/>
            <w:vAlign w:val="center"/>
          </w:tcPr>
          <w:p>
            <w:pPr>
              <w:jc w:val="center"/>
              <w:rPr>
                <w:rFonts w:ascii="仿宋_GB2312"/>
                <w:sz w:val="24"/>
              </w:rPr>
            </w:pPr>
            <w:r>
              <w:rPr>
                <w:rFonts w:ascii="仿宋_GB2312"/>
                <w:sz w:val="24"/>
              </w:rPr>
              <w:t>预算安排经费</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hint="eastAsia" w:ascii="仿宋_GB2312"/>
                <w:sz w:val="24"/>
              </w:rPr>
              <w:t>注册费/会务费</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hint="eastAsia" w:ascii="仿宋_GB2312"/>
                <w:sz w:val="24"/>
              </w:rPr>
              <w:t>其他收入</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64" w:type="dxa"/>
            <w:vMerge w:val="continue"/>
            <w:vAlign w:val="center"/>
          </w:tcPr>
          <w:p>
            <w:pPr>
              <w:jc w:val="center"/>
              <w:rPr>
                <w:rFonts w:ascii="仿宋_GB2312"/>
                <w:sz w:val="24"/>
              </w:rPr>
            </w:pPr>
          </w:p>
        </w:tc>
        <w:tc>
          <w:tcPr>
            <w:tcW w:w="567" w:type="dxa"/>
            <w:vMerge w:val="continue"/>
            <w:vAlign w:val="center"/>
          </w:tcPr>
          <w:p>
            <w:pPr>
              <w:jc w:val="center"/>
              <w:rPr>
                <w:rFonts w:ascii="仿宋_GB2312"/>
                <w:sz w:val="24"/>
              </w:rPr>
            </w:pPr>
          </w:p>
        </w:tc>
        <w:tc>
          <w:tcPr>
            <w:tcW w:w="1843" w:type="dxa"/>
            <w:gridSpan w:val="2"/>
            <w:vAlign w:val="center"/>
          </w:tcPr>
          <w:p>
            <w:pPr>
              <w:jc w:val="center"/>
              <w:rPr>
                <w:rFonts w:ascii="仿宋_GB2312"/>
                <w:sz w:val="24"/>
              </w:rPr>
            </w:pPr>
            <w:r>
              <w:rPr>
                <w:rFonts w:ascii="仿宋_GB2312"/>
                <w:sz w:val="24"/>
              </w:rPr>
              <w:t>合计</w:t>
            </w:r>
          </w:p>
        </w:tc>
        <w:tc>
          <w:tcPr>
            <w:tcW w:w="1134" w:type="dxa"/>
            <w:gridSpan w:val="2"/>
            <w:vAlign w:val="center"/>
          </w:tcPr>
          <w:p>
            <w:pPr>
              <w:jc w:val="center"/>
              <w:rPr>
                <w:rFonts w:ascii="仿宋_GB2312"/>
                <w:sz w:val="24"/>
              </w:rPr>
            </w:pPr>
          </w:p>
        </w:tc>
        <w:tc>
          <w:tcPr>
            <w:tcW w:w="4392" w:type="dxa"/>
            <w:gridSpan w:val="3"/>
            <w:vAlign w:val="center"/>
          </w:tcPr>
          <w:p>
            <w:pPr>
              <w:jc w:val="center"/>
              <w:rPr>
                <w:rFonts w:ascii="仿宋_GB2312"/>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29" w:hRule="atLeast"/>
        </w:trPr>
        <w:tc>
          <w:tcPr>
            <w:tcW w:w="764" w:type="dxa"/>
            <w:vAlign w:val="center"/>
          </w:tcPr>
          <w:p>
            <w:pPr>
              <w:jc w:val="center"/>
              <w:rPr>
                <w:rFonts w:ascii="仿宋_GB2312"/>
                <w:sz w:val="24"/>
              </w:rPr>
            </w:pPr>
            <w:r>
              <w:rPr>
                <w:rFonts w:hint="eastAsia" w:ascii="仿宋_GB2312"/>
                <w:sz w:val="24"/>
              </w:rPr>
              <w:t>单位或项目负责人</w:t>
            </w:r>
          </w:p>
          <w:p>
            <w:pPr>
              <w:jc w:val="center"/>
              <w:rPr>
                <w:rFonts w:ascii="仿宋_GB2312"/>
                <w:sz w:val="24"/>
              </w:rPr>
            </w:pPr>
            <w:r>
              <w:rPr>
                <w:rFonts w:hint="eastAsia" w:ascii="仿宋_GB2312"/>
                <w:sz w:val="24"/>
              </w:rPr>
              <w:t>意见</w:t>
            </w:r>
          </w:p>
        </w:tc>
        <w:tc>
          <w:tcPr>
            <w:tcW w:w="3544" w:type="dxa"/>
            <w:gridSpan w:val="5"/>
            <w:vAlign w:val="center"/>
          </w:tcPr>
          <w:p>
            <w:pPr>
              <w:jc w:val="center"/>
              <w:rPr>
                <w:rFonts w:ascii="仿宋_GB2312"/>
                <w:sz w:val="24"/>
              </w:rPr>
            </w:pPr>
          </w:p>
          <w:p>
            <w:pPr>
              <w:jc w:val="center"/>
              <w:rPr>
                <w:rFonts w:ascii="仿宋_GB2312"/>
                <w:sz w:val="24"/>
              </w:rPr>
            </w:pPr>
          </w:p>
          <w:p>
            <w:pPr>
              <w:jc w:val="center"/>
              <w:rPr>
                <w:rFonts w:ascii="仿宋_GB2312"/>
                <w:sz w:val="24"/>
              </w:rPr>
            </w:pPr>
          </w:p>
          <w:p>
            <w:pPr>
              <w:rPr>
                <w:rFonts w:ascii="仿宋_GB2312"/>
                <w:sz w:val="24"/>
              </w:rPr>
            </w:pPr>
            <w:r>
              <w:rPr>
                <w:rFonts w:hint="eastAsia" w:ascii="仿宋_GB2312"/>
                <w:sz w:val="24"/>
              </w:rPr>
              <w:t>签字：</w:t>
            </w:r>
          </w:p>
          <w:p>
            <w:pPr>
              <w:jc w:val="center"/>
              <w:rPr>
                <w:rFonts w:ascii="仿宋_GB2312"/>
                <w:sz w:val="24"/>
              </w:rPr>
            </w:pPr>
            <w:r>
              <w:rPr>
                <w:rFonts w:hint="eastAsia" w:ascii="仿宋_GB2312"/>
                <w:sz w:val="24"/>
              </w:rPr>
              <w:t>年   月   日</w:t>
            </w:r>
          </w:p>
        </w:tc>
        <w:tc>
          <w:tcPr>
            <w:tcW w:w="870" w:type="dxa"/>
            <w:vAlign w:val="center"/>
          </w:tcPr>
          <w:p>
            <w:pPr>
              <w:widowControl/>
              <w:jc w:val="center"/>
              <w:rPr>
                <w:rFonts w:ascii="仿宋_GB2312"/>
                <w:sz w:val="24"/>
              </w:rPr>
            </w:pPr>
            <w:r>
              <w:rPr>
                <w:rFonts w:hint="eastAsia" w:ascii="仿宋_GB2312"/>
                <w:sz w:val="24"/>
              </w:rPr>
              <w:t>主管部门负责人意见</w:t>
            </w:r>
          </w:p>
        </w:tc>
        <w:tc>
          <w:tcPr>
            <w:tcW w:w="3522" w:type="dxa"/>
            <w:gridSpan w:val="2"/>
            <w:vAlign w:val="center"/>
          </w:tcPr>
          <w:p>
            <w:pPr>
              <w:widowControl/>
              <w:jc w:val="center"/>
              <w:rPr>
                <w:rFonts w:ascii="仿宋_GB2312"/>
                <w:sz w:val="24"/>
              </w:rPr>
            </w:pPr>
          </w:p>
          <w:p>
            <w:pPr>
              <w:widowControl/>
              <w:jc w:val="center"/>
              <w:rPr>
                <w:rFonts w:ascii="仿宋_GB2312"/>
                <w:sz w:val="24"/>
              </w:rPr>
            </w:pPr>
          </w:p>
          <w:p>
            <w:pPr>
              <w:ind w:firstLine="840" w:firstLineChars="350"/>
              <w:jc w:val="center"/>
              <w:rPr>
                <w:rFonts w:ascii="仿宋_GB2312"/>
                <w:sz w:val="24"/>
              </w:rPr>
            </w:pPr>
          </w:p>
          <w:p>
            <w:pPr>
              <w:rPr>
                <w:rFonts w:ascii="仿宋_GB2312"/>
                <w:sz w:val="24"/>
              </w:rPr>
            </w:pPr>
            <w:r>
              <w:rPr>
                <w:rFonts w:hint="eastAsia" w:ascii="仿宋_GB2312"/>
                <w:sz w:val="24"/>
              </w:rPr>
              <w:t>签字：</w:t>
            </w:r>
          </w:p>
          <w:p>
            <w:pPr>
              <w:widowControl/>
              <w:ind w:firstLine="1800" w:firstLineChars="750"/>
              <w:jc w:val="center"/>
              <w:rPr>
                <w:rFonts w:ascii="仿宋_GB2312"/>
                <w:sz w:val="24"/>
              </w:rPr>
            </w:pPr>
            <w:r>
              <w:rPr>
                <w:rFonts w:hint="eastAsia" w:ascii="仿宋_GB2312"/>
                <w:sz w:val="24"/>
              </w:rPr>
              <w:t>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2" w:hRule="atLeast"/>
        </w:trPr>
        <w:tc>
          <w:tcPr>
            <w:tcW w:w="764" w:type="dxa"/>
            <w:vAlign w:val="center"/>
          </w:tcPr>
          <w:p>
            <w:pPr>
              <w:jc w:val="center"/>
              <w:rPr>
                <w:rFonts w:ascii="仿宋_GB2312"/>
                <w:sz w:val="24"/>
              </w:rPr>
            </w:pPr>
            <w:r>
              <w:rPr>
                <w:rFonts w:hint="eastAsia" w:ascii="仿宋_GB2312"/>
                <w:sz w:val="24"/>
              </w:rPr>
              <w:t>主管校领导意见</w:t>
            </w:r>
          </w:p>
        </w:tc>
        <w:tc>
          <w:tcPr>
            <w:tcW w:w="7936" w:type="dxa"/>
            <w:gridSpan w:val="8"/>
            <w:vAlign w:val="center"/>
          </w:tcPr>
          <w:p>
            <w:pPr>
              <w:jc w:val="center"/>
              <w:rPr>
                <w:rFonts w:ascii="仿宋_GB2312"/>
                <w:sz w:val="24"/>
              </w:rPr>
            </w:pPr>
          </w:p>
          <w:p>
            <w:pPr>
              <w:jc w:val="center"/>
              <w:rPr>
                <w:rFonts w:ascii="仿宋_GB2312"/>
                <w:sz w:val="24"/>
              </w:rPr>
            </w:pPr>
          </w:p>
          <w:p>
            <w:pPr>
              <w:ind w:firstLine="3120" w:firstLineChars="1300"/>
              <w:rPr>
                <w:rFonts w:ascii="仿宋_GB2312"/>
                <w:sz w:val="24"/>
              </w:rPr>
            </w:pPr>
            <w:r>
              <w:rPr>
                <w:rFonts w:hint="eastAsia" w:ascii="仿宋_GB2312"/>
                <w:sz w:val="24"/>
              </w:rPr>
              <w:t>签字：</w:t>
            </w:r>
          </w:p>
          <w:p>
            <w:pPr>
              <w:jc w:val="center"/>
              <w:rPr>
                <w:rFonts w:ascii="仿宋_GB2312"/>
                <w:sz w:val="24"/>
              </w:rPr>
            </w:pPr>
            <w:r>
              <w:rPr>
                <w:rFonts w:hint="eastAsia" w:ascii="仿宋_GB2312"/>
                <w:sz w:val="24"/>
              </w:rPr>
              <w:t xml:space="preserve">                                                年   月   日</w:t>
            </w:r>
          </w:p>
        </w:tc>
      </w:tr>
      <w:bookmarkEnd w:id="0"/>
    </w:tbl>
    <w:p>
      <w:pPr>
        <w:pStyle w:val="11"/>
        <w:spacing w:beforeAutospacing="0" w:afterAutospacing="0"/>
        <w:rPr>
          <w:rFonts w:ascii="黑体" w:hAnsi="黑体" w:eastAsia="黑体" w:cs="仿宋"/>
          <w:sz w:val="32"/>
          <w:szCs w:val="32"/>
        </w:rPr>
      </w:pPr>
      <w:r>
        <w:rPr>
          <w:rFonts w:hint="eastAsia" w:ascii="黑体" w:hAnsi="黑体" w:eastAsia="黑体" w:cs="仿宋"/>
          <w:sz w:val="32"/>
          <w:szCs w:val="32"/>
        </w:rPr>
        <w:t>附件2</w:t>
      </w:r>
    </w:p>
    <w:p>
      <w:pPr>
        <w:pStyle w:val="11"/>
        <w:spacing w:beforeAutospacing="0" w:afterAutospacing="0"/>
        <w:rPr>
          <w:rStyle w:val="9"/>
          <w:rFonts w:hint="eastAsia" w:ascii="方正小标宋简体" w:hAnsi="方正小标宋简体" w:eastAsia="方正小标宋简体" w:cs="方正小标宋简体"/>
          <w:b w:val="0"/>
          <w:bCs w:val="0"/>
          <w:sz w:val="32"/>
          <w:szCs w:val="32"/>
        </w:rPr>
      </w:pPr>
      <w:r>
        <w:rPr>
          <w:rFonts w:hint="eastAsia" w:ascii="黑体" w:hAnsi="黑体" w:eastAsia="黑体" w:cs="仿宋"/>
          <w:sz w:val="32"/>
          <w:szCs w:val="32"/>
        </w:rPr>
        <w:t xml:space="preserve">            </w:t>
      </w:r>
      <w:r>
        <w:rPr>
          <w:rFonts w:hint="eastAsia" w:ascii="黑体" w:hAnsi="黑体" w:eastAsia="黑体" w:cs="仿宋"/>
          <w:b/>
          <w:sz w:val="32"/>
          <w:szCs w:val="32"/>
        </w:rPr>
        <w:t xml:space="preserve"> </w:t>
      </w:r>
      <w:r>
        <w:rPr>
          <w:rStyle w:val="9"/>
          <w:rFonts w:hint="eastAsia" w:ascii="方正小标宋简体" w:hAnsi="方正小标宋简体" w:eastAsia="方正小标宋简体" w:cs="方正小标宋简体"/>
          <w:b w:val="0"/>
          <w:bCs w:val="0"/>
          <w:sz w:val="32"/>
          <w:szCs w:val="32"/>
        </w:rPr>
        <w:t>郑州师范学院会议费决算表</w:t>
      </w:r>
    </w:p>
    <w:p>
      <w:pPr>
        <w:pStyle w:val="11"/>
        <w:spacing w:beforeAutospacing="0" w:afterAutospacing="0"/>
        <w:rPr>
          <w:rStyle w:val="9"/>
          <w:rFonts w:ascii="仿宋_GB2312" w:hAnsi="黑体" w:eastAsia="仿宋_GB2312" w:cs="黑体"/>
          <w:b w:val="0"/>
        </w:rPr>
      </w:pPr>
      <w:r>
        <w:rPr>
          <w:rFonts w:hint="eastAsia" w:ascii="仿宋_GB2312" w:hAnsi="宋体" w:eastAsia="仿宋_GB2312" w:cs="宋体"/>
        </w:rPr>
        <w:t>申请单位：</w:t>
      </w:r>
    </w:p>
    <w:tbl>
      <w:tblPr>
        <w:tblStyle w:val="6"/>
        <w:tblW w:w="852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37"/>
        <w:gridCol w:w="2357"/>
        <w:gridCol w:w="425"/>
        <w:gridCol w:w="623"/>
        <w:gridCol w:w="855"/>
        <w:gridCol w:w="1260"/>
        <w:gridCol w:w="15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Align w:val="center"/>
          </w:tcPr>
          <w:p>
            <w:pPr>
              <w:pStyle w:val="11"/>
              <w:spacing w:beforeAutospacing="0" w:afterAutospacing="0" w:line="360" w:lineRule="exact"/>
              <w:jc w:val="center"/>
              <w:rPr>
                <w:rFonts w:ascii="仿宋_GB2312" w:hAnsi="仿宋" w:eastAsia="仿宋_GB2312" w:cs="仿宋"/>
              </w:rPr>
            </w:pPr>
            <w:bookmarkStart w:id="2" w:name="OLE_LINK58"/>
            <w:bookmarkStart w:id="3" w:name="OLE_LINK40" w:colFirst="0" w:colLast="1"/>
            <w:r>
              <w:rPr>
                <w:rFonts w:hint="eastAsia" w:ascii="仿宋_GB2312" w:hAnsi="宋体" w:eastAsia="仿宋_GB2312" w:cs="宋体"/>
              </w:rPr>
              <w:t>会议名称</w:t>
            </w:r>
            <w:bookmarkEnd w:id="2"/>
          </w:p>
        </w:tc>
        <w:tc>
          <w:tcPr>
            <w:tcW w:w="7085" w:type="dxa"/>
            <w:gridSpan w:val="6"/>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Align w:val="center"/>
          </w:tcPr>
          <w:p>
            <w:pPr>
              <w:pStyle w:val="11"/>
              <w:spacing w:beforeAutospacing="0" w:afterAutospacing="0" w:line="360" w:lineRule="exact"/>
              <w:jc w:val="center"/>
              <w:rPr>
                <w:rFonts w:ascii="仿宋_GB2312" w:hAnsi="仿宋" w:eastAsia="仿宋_GB2312" w:cs="仿宋"/>
              </w:rPr>
            </w:pPr>
            <w:bookmarkStart w:id="4" w:name="OLE_LINK59"/>
            <w:bookmarkStart w:id="5" w:name="OLE_LINK64" w:colFirst="4" w:colLast="4"/>
            <w:bookmarkStart w:id="6" w:name="OLE_LINK61" w:colFirst="2" w:colLast="2"/>
            <w:r>
              <w:rPr>
                <w:rFonts w:hint="eastAsia" w:ascii="仿宋_GB2312" w:hAnsi="宋体" w:eastAsia="仿宋_GB2312" w:cs="宋体"/>
              </w:rPr>
              <w:t>会议地点</w:t>
            </w:r>
            <w:bookmarkEnd w:id="4"/>
          </w:p>
        </w:tc>
        <w:tc>
          <w:tcPr>
            <w:tcW w:w="2357" w:type="dxa"/>
            <w:vAlign w:val="center"/>
          </w:tcPr>
          <w:p>
            <w:pPr>
              <w:pStyle w:val="11"/>
              <w:spacing w:beforeAutospacing="0" w:afterAutospacing="0" w:line="360" w:lineRule="exact"/>
              <w:jc w:val="center"/>
              <w:rPr>
                <w:rFonts w:ascii="仿宋_GB2312" w:hAnsi="仿宋" w:eastAsia="仿宋_GB2312" w:cs="仿宋"/>
              </w:rPr>
            </w:pPr>
          </w:p>
        </w:tc>
        <w:tc>
          <w:tcPr>
            <w:tcW w:w="1048" w:type="dxa"/>
            <w:gridSpan w:val="2"/>
            <w:vMerge w:val="restart"/>
            <w:vAlign w:val="center"/>
          </w:tcPr>
          <w:p>
            <w:pPr>
              <w:pStyle w:val="11"/>
              <w:spacing w:beforeAutospacing="0" w:afterAutospacing="0" w:line="360" w:lineRule="exact"/>
              <w:jc w:val="center"/>
              <w:rPr>
                <w:rFonts w:ascii="仿宋_GB2312" w:hAnsi="宋体" w:eastAsia="仿宋_GB2312" w:cs="宋体"/>
              </w:rPr>
            </w:pPr>
            <w:bookmarkStart w:id="7" w:name="OLE_LINK39"/>
            <w:r>
              <w:rPr>
                <w:rFonts w:hint="eastAsia" w:ascii="仿宋_GB2312" w:hAnsi="宋体" w:eastAsia="仿宋_GB2312" w:cs="宋体"/>
              </w:rPr>
              <w:t>起止</w:t>
            </w:r>
          </w:p>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日期</w:t>
            </w:r>
            <w:bookmarkEnd w:id="7"/>
          </w:p>
        </w:tc>
        <w:tc>
          <w:tcPr>
            <w:tcW w:w="2115" w:type="dxa"/>
            <w:gridSpan w:val="2"/>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自   年  月  日</w:t>
            </w:r>
          </w:p>
        </w:tc>
        <w:tc>
          <w:tcPr>
            <w:tcW w:w="1565" w:type="dxa"/>
            <w:vMerge w:val="restart"/>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共  天</w:t>
            </w:r>
          </w:p>
        </w:tc>
      </w:tr>
      <w:bookmarkEnd w:id="5"/>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Align w:val="center"/>
          </w:tcPr>
          <w:p>
            <w:pPr>
              <w:pStyle w:val="11"/>
              <w:spacing w:beforeAutospacing="0" w:afterAutospacing="0" w:line="360" w:lineRule="exact"/>
              <w:jc w:val="center"/>
              <w:rPr>
                <w:rFonts w:ascii="仿宋_GB2312" w:hAnsi="仿宋" w:eastAsia="仿宋_GB2312" w:cs="仿宋"/>
              </w:rPr>
            </w:pPr>
            <w:bookmarkStart w:id="8" w:name="OLE_LINK60"/>
            <w:r>
              <w:rPr>
                <w:rFonts w:hint="eastAsia" w:ascii="仿宋_GB2312" w:hAnsi="宋体" w:eastAsia="仿宋_GB2312" w:cs="宋体"/>
              </w:rPr>
              <w:t>参加人数</w:t>
            </w:r>
            <w:bookmarkEnd w:id="8"/>
          </w:p>
        </w:tc>
        <w:tc>
          <w:tcPr>
            <w:tcW w:w="2357" w:type="dxa"/>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仿宋" w:eastAsia="仿宋_GB2312" w:cs="仿宋"/>
                <w:u w:val="single"/>
              </w:rPr>
              <w:t xml:space="preserve">     </w:t>
            </w:r>
            <w:r>
              <w:rPr>
                <w:rFonts w:hint="eastAsia" w:ascii="仿宋_GB2312" w:hAnsi="仿宋" w:eastAsia="仿宋_GB2312" w:cs="仿宋"/>
              </w:rPr>
              <w:t>人，其中我校承担住宿费用</w:t>
            </w:r>
            <w:r>
              <w:rPr>
                <w:rFonts w:hint="eastAsia" w:ascii="仿宋_GB2312" w:hAnsi="仿宋" w:eastAsia="仿宋_GB2312" w:cs="仿宋"/>
                <w:u w:val="single"/>
              </w:rPr>
              <w:t xml:space="preserve">   </w:t>
            </w:r>
            <w:r>
              <w:rPr>
                <w:rFonts w:hint="eastAsia" w:ascii="仿宋_GB2312" w:hAnsi="仿宋" w:eastAsia="仿宋_GB2312" w:cs="仿宋"/>
              </w:rPr>
              <w:t>人</w:t>
            </w:r>
          </w:p>
        </w:tc>
        <w:tc>
          <w:tcPr>
            <w:tcW w:w="1048" w:type="dxa"/>
            <w:gridSpan w:val="2"/>
            <w:vMerge w:val="continue"/>
            <w:vAlign w:val="center"/>
          </w:tcPr>
          <w:p>
            <w:pPr>
              <w:pStyle w:val="11"/>
              <w:spacing w:beforeAutospacing="0" w:afterAutospacing="0" w:line="360" w:lineRule="exact"/>
              <w:jc w:val="center"/>
              <w:rPr>
                <w:rFonts w:ascii="仿宋_GB2312" w:hAnsi="仿宋" w:eastAsia="仿宋_GB2312" w:cs="仿宋"/>
              </w:rPr>
            </w:pPr>
          </w:p>
        </w:tc>
        <w:tc>
          <w:tcPr>
            <w:tcW w:w="2115" w:type="dxa"/>
            <w:gridSpan w:val="2"/>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至   年  月  日</w:t>
            </w:r>
          </w:p>
        </w:tc>
        <w:tc>
          <w:tcPr>
            <w:tcW w:w="1565" w:type="dxa"/>
            <w:vMerge w:val="continue"/>
            <w:vAlign w:val="center"/>
          </w:tcPr>
          <w:p>
            <w:pPr>
              <w:pStyle w:val="11"/>
              <w:spacing w:beforeAutospacing="0" w:afterAutospacing="0" w:line="360" w:lineRule="exact"/>
              <w:jc w:val="center"/>
              <w:rPr>
                <w:rFonts w:ascii="仿宋_GB2312" w:hAnsi="仿宋" w:eastAsia="仿宋_GB2312" w:cs="仿宋"/>
              </w:rPr>
            </w:pPr>
          </w:p>
        </w:tc>
      </w:tr>
      <w:bookmarkEnd w:id="6"/>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restart"/>
            <w:vAlign w:val="center"/>
          </w:tcPr>
          <w:p>
            <w:pPr>
              <w:pStyle w:val="11"/>
              <w:spacing w:beforeAutospacing="0" w:afterAutospacing="0" w:line="360" w:lineRule="exact"/>
              <w:jc w:val="center"/>
              <w:rPr>
                <w:rFonts w:ascii="仿宋_GB2312" w:hAnsi="仿宋" w:eastAsia="仿宋_GB2312" w:cs="仿宋"/>
              </w:rPr>
            </w:pPr>
            <w:bookmarkStart w:id="9" w:name="OLE_LINK72"/>
            <w:bookmarkStart w:id="10" w:name="OLE_LINK65" w:colFirst="0" w:colLast="0"/>
            <w:bookmarkStart w:id="11" w:name="OLE_LINK69" w:colFirst="0" w:colLast="0"/>
            <w:bookmarkStart w:id="12" w:name="OLE_LINK70" w:colFirst="0" w:colLast="0"/>
            <w:r>
              <w:rPr>
                <w:rFonts w:hint="eastAsia" w:ascii="仿宋_GB2312" w:hAnsi="宋体" w:eastAsia="仿宋_GB2312" w:cs="宋体"/>
              </w:rPr>
              <w:t>定额内开支项目</w:t>
            </w:r>
            <w:bookmarkEnd w:id="9"/>
            <w:r>
              <w:rPr>
                <w:rFonts w:hint="eastAsia" w:ascii="仿宋_GB2312" w:hAnsi="宋体" w:eastAsia="仿宋_GB2312" w:cs="宋体"/>
              </w:rPr>
              <w:t>（元）</w:t>
            </w:r>
          </w:p>
        </w:tc>
        <w:tc>
          <w:tcPr>
            <w:tcW w:w="2357" w:type="dxa"/>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住宿费</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伙食费</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会议室租金</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bookmarkEnd w:id="1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印刷费</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资料费</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市内交通费</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bookmarkStart w:id="13" w:name="OLE_LINK67"/>
          </w:p>
        </w:tc>
        <w:tc>
          <w:tcPr>
            <w:tcW w:w="2357" w:type="dxa"/>
            <w:vAlign w:val="center"/>
          </w:tcPr>
          <w:p>
            <w:pPr>
              <w:pStyle w:val="11"/>
              <w:spacing w:beforeAutospacing="0" w:afterAutospacing="0" w:line="360" w:lineRule="exact"/>
              <w:jc w:val="center"/>
              <w:rPr>
                <w:rFonts w:ascii="仿宋_GB2312" w:hAnsi="仿宋" w:eastAsia="仿宋_GB2312" w:cs="仿宋"/>
              </w:rPr>
            </w:pPr>
            <w:r>
              <w:rPr>
                <w:rFonts w:hint="eastAsia" w:ascii="仿宋_GB2312" w:hAnsi="宋体" w:eastAsia="仿宋_GB2312" w:cs="宋体"/>
              </w:rPr>
              <w:t>其他</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bookmarkEnd w:id="11"/>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宋体" w:eastAsia="仿宋_GB2312" w:cs="宋体"/>
              </w:rPr>
            </w:pPr>
            <w:bookmarkStart w:id="14" w:name="OLE_LINK71"/>
            <w:r>
              <w:rPr>
                <w:rFonts w:hint="eastAsia" w:ascii="仿宋_GB2312" w:eastAsia="仿宋_GB2312"/>
              </w:rPr>
              <w:t>小计</w:t>
            </w:r>
            <w:bookmarkEnd w:id="14"/>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bookmarkEnd w:id="12"/>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restart"/>
            <w:vAlign w:val="center"/>
          </w:tcPr>
          <w:p>
            <w:pPr>
              <w:pStyle w:val="11"/>
              <w:spacing w:beforeAutospacing="0" w:afterAutospacing="0" w:line="360" w:lineRule="exact"/>
              <w:jc w:val="center"/>
              <w:rPr>
                <w:rFonts w:ascii="仿宋_GB2312" w:hAnsi="仿宋" w:eastAsia="仿宋_GB2312" w:cs="仿宋"/>
              </w:rPr>
            </w:pPr>
            <w:bookmarkStart w:id="15" w:name="OLE_LINK77"/>
            <w:bookmarkStart w:id="16" w:name="OLE_LINK75" w:colFirst="0" w:colLast="0"/>
            <w:bookmarkStart w:id="17" w:name="OLE_LINK74" w:colFirst="1" w:colLast="1"/>
            <w:r>
              <w:rPr>
                <w:rFonts w:hint="eastAsia" w:ascii="仿宋_GB2312" w:hAnsi="宋体" w:eastAsia="仿宋_GB2312" w:cs="宋体"/>
              </w:rPr>
              <w:t>非定额开支项目</w:t>
            </w:r>
            <w:bookmarkEnd w:id="15"/>
            <w:r>
              <w:rPr>
                <w:rFonts w:hint="eastAsia" w:ascii="仿宋_GB2312" w:hAnsi="宋体" w:eastAsia="仿宋_GB2312" w:cs="宋体"/>
              </w:rPr>
              <w:t>（元）</w:t>
            </w:r>
          </w:p>
        </w:tc>
        <w:tc>
          <w:tcPr>
            <w:tcW w:w="2357" w:type="dxa"/>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城市间交通费</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讲座费、劳务费</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其他</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2357" w:type="dxa"/>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小计</w:t>
            </w:r>
          </w:p>
        </w:tc>
        <w:tc>
          <w:tcPr>
            <w:tcW w:w="4728" w:type="dxa"/>
            <w:gridSpan w:val="5"/>
            <w:vAlign w:val="center"/>
          </w:tcPr>
          <w:p>
            <w:pPr>
              <w:pStyle w:val="11"/>
              <w:spacing w:beforeAutospacing="0" w:afterAutospacing="0" w:line="360" w:lineRule="exact"/>
              <w:jc w:val="center"/>
              <w:rPr>
                <w:rFonts w:ascii="仿宋_GB2312" w:hAnsi="仿宋" w:eastAsia="仿宋_GB2312" w:cs="仿宋"/>
              </w:rPr>
            </w:pPr>
          </w:p>
        </w:tc>
      </w:tr>
      <w:bookmarkEnd w:id="16"/>
      <w:bookmarkEnd w:id="17"/>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1437" w:type="dxa"/>
            <w:vMerge w:val="restart"/>
            <w:vAlign w:val="center"/>
          </w:tcPr>
          <w:p>
            <w:pPr>
              <w:pStyle w:val="11"/>
              <w:spacing w:beforeAutospacing="0" w:afterAutospacing="0" w:line="360" w:lineRule="exact"/>
              <w:jc w:val="center"/>
              <w:rPr>
                <w:rFonts w:ascii="仿宋_GB2312" w:hAnsi="仿宋" w:eastAsia="仿宋_GB2312" w:cs="仿宋"/>
              </w:rPr>
            </w:pPr>
            <w:bookmarkStart w:id="18" w:name="OLE_LINK37"/>
            <w:bookmarkStart w:id="19" w:name="OLE_LINK78" w:colFirst="1" w:colLast="2"/>
            <w:bookmarkStart w:id="20" w:name="OLE_LINK82" w:colFirst="0" w:colLast="0"/>
            <w:r>
              <w:rPr>
                <w:rFonts w:hint="eastAsia" w:ascii="仿宋_GB2312" w:hAnsi="宋体" w:eastAsia="仿宋_GB2312" w:cs="宋体"/>
              </w:rPr>
              <w:t>合计金</w:t>
            </w:r>
            <w:bookmarkEnd w:id="18"/>
            <w:r>
              <w:rPr>
                <w:rFonts w:hint="eastAsia" w:ascii="仿宋_GB2312" w:hAnsi="宋体" w:eastAsia="仿宋_GB2312" w:cs="宋体"/>
              </w:rPr>
              <w:t>额</w:t>
            </w:r>
          </w:p>
        </w:tc>
        <w:tc>
          <w:tcPr>
            <w:tcW w:w="7085" w:type="dxa"/>
            <w:gridSpan w:val="6"/>
            <w:vAlign w:val="center"/>
          </w:tcPr>
          <w:p>
            <w:pPr>
              <w:pStyle w:val="11"/>
              <w:spacing w:beforeAutospacing="0" w:afterAutospacing="0" w:line="360" w:lineRule="exact"/>
              <w:rPr>
                <w:rFonts w:ascii="仿宋_GB2312" w:hAnsi="仿宋" w:eastAsia="仿宋_GB2312" w:cs="仿宋"/>
              </w:rPr>
            </w:pPr>
            <w:r>
              <w:rPr>
                <w:rFonts w:hint="eastAsia" w:ascii="仿宋_GB2312" w:hAnsi="宋体" w:eastAsia="仿宋_GB2312" w:cs="宋体"/>
              </w:rPr>
              <w:t xml:space="preserve">￥：        </w:t>
            </w:r>
          </w:p>
        </w:tc>
      </w:tr>
      <w:bookmarkEnd w:id="13"/>
      <w:bookmarkEnd w:id="19"/>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4" w:hRule="atLeast"/>
        </w:trPr>
        <w:tc>
          <w:tcPr>
            <w:tcW w:w="1437" w:type="dxa"/>
            <w:vMerge w:val="continue"/>
            <w:vAlign w:val="center"/>
          </w:tcPr>
          <w:p>
            <w:pPr>
              <w:pStyle w:val="11"/>
              <w:spacing w:beforeAutospacing="0" w:afterAutospacing="0" w:line="360" w:lineRule="exact"/>
              <w:jc w:val="center"/>
              <w:rPr>
                <w:rFonts w:ascii="仿宋_GB2312" w:hAnsi="仿宋" w:eastAsia="仿宋_GB2312" w:cs="仿宋"/>
              </w:rPr>
            </w:pPr>
          </w:p>
        </w:tc>
        <w:tc>
          <w:tcPr>
            <w:tcW w:w="7085" w:type="dxa"/>
            <w:gridSpan w:val="6"/>
            <w:vAlign w:val="center"/>
          </w:tcPr>
          <w:p>
            <w:pPr>
              <w:pStyle w:val="11"/>
              <w:spacing w:beforeAutospacing="0" w:afterAutospacing="0" w:line="360" w:lineRule="exact"/>
              <w:rPr>
                <w:rFonts w:ascii="仿宋_GB2312" w:hAnsi="仿宋" w:eastAsia="仿宋_GB2312" w:cs="仿宋"/>
              </w:rPr>
            </w:pPr>
            <w:bookmarkStart w:id="21" w:name="OLE_LINK80"/>
            <w:bookmarkStart w:id="22" w:name="OLE_LINK81"/>
            <w:r>
              <w:rPr>
                <w:rFonts w:hint="eastAsia" w:ascii="仿宋_GB2312" w:hAnsi="宋体" w:eastAsia="仿宋_GB2312" w:cs="宋体"/>
              </w:rPr>
              <w:t>大写</w:t>
            </w:r>
            <w:bookmarkEnd w:id="21"/>
            <w:r>
              <w:rPr>
                <w:rFonts w:hint="eastAsia" w:ascii="仿宋_GB2312" w:hAnsi="宋体" w:eastAsia="仿宋_GB2312" w:cs="宋体"/>
              </w:rPr>
              <w:t xml:space="preserve">：                     </w:t>
            </w:r>
            <w:bookmarkEnd w:id="22"/>
          </w:p>
        </w:tc>
      </w:tr>
      <w:bookmarkEnd w:id="20"/>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 w:hRule="atLeast"/>
        </w:trPr>
        <w:tc>
          <w:tcPr>
            <w:tcW w:w="1437" w:type="dxa"/>
            <w:vAlign w:val="center"/>
          </w:tcPr>
          <w:p>
            <w:pPr>
              <w:pStyle w:val="11"/>
              <w:spacing w:beforeAutospacing="0" w:afterAutospacing="0" w:line="360" w:lineRule="exact"/>
              <w:jc w:val="center"/>
              <w:rPr>
                <w:rFonts w:ascii="仿宋_GB2312" w:hAnsi="宋体" w:eastAsia="仿宋_GB2312" w:cs="宋体"/>
              </w:rPr>
            </w:pPr>
            <w:bookmarkStart w:id="23" w:name="OLE_LINK38" w:colFirst="0" w:colLast="1"/>
            <w:r>
              <w:rPr>
                <w:rFonts w:hint="eastAsia" w:ascii="仿宋_GB2312" w:hAnsi="宋体" w:eastAsia="仿宋_GB2312" w:cs="宋体"/>
              </w:rPr>
              <w:t>报销人签字</w:t>
            </w:r>
          </w:p>
        </w:tc>
        <w:tc>
          <w:tcPr>
            <w:tcW w:w="2782" w:type="dxa"/>
            <w:gridSpan w:val="2"/>
            <w:vAlign w:val="center"/>
          </w:tcPr>
          <w:p>
            <w:pPr>
              <w:pStyle w:val="11"/>
              <w:spacing w:beforeAutospacing="0" w:afterAutospacing="0" w:line="360" w:lineRule="exact"/>
              <w:jc w:val="center"/>
              <w:rPr>
                <w:rFonts w:ascii="仿宋_GB2312" w:hAnsi="宋体" w:eastAsia="仿宋_GB2312" w:cs="宋体"/>
              </w:rPr>
            </w:pPr>
          </w:p>
        </w:tc>
        <w:tc>
          <w:tcPr>
            <w:tcW w:w="1478" w:type="dxa"/>
            <w:gridSpan w:val="2"/>
            <w:vAlign w:val="center"/>
          </w:tcPr>
          <w:p>
            <w:pPr>
              <w:pStyle w:val="11"/>
              <w:spacing w:beforeAutospacing="0" w:afterAutospacing="0" w:line="360" w:lineRule="exact"/>
              <w:jc w:val="center"/>
              <w:rPr>
                <w:rFonts w:ascii="仿宋_GB2312" w:hAnsi="宋体" w:eastAsia="仿宋_GB2312" w:cs="宋体"/>
              </w:rPr>
            </w:pPr>
            <w:r>
              <w:rPr>
                <w:rFonts w:hint="eastAsia" w:ascii="仿宋_GB2312" w:hAnsi="宋体" w:eastAsia="仿宋_GB2312" w:cs="宋体"/>
              </w:rPr>
              <w:t>经费负责人签字</w:t>
            </w:r>
          </w:p>
        </w:tc>
        <w:tc>
          <w:tcPr>
            <w:tcW w:w="2825" w:type="dxa"/>
            <w:gridSpan w:val="2"/>
            <w:vAlign w:val="center"/>
          </w:tcPr>
          <w:p>
            <w:pPr>
              <w:pStyle w:val="11"/>
              <w:spacing w:beforeAutospacing="0" w:afterAutospacing="0" w:line="360" w:lineRule="exact"/>
              <w:jc w:val="center"/>
              <w:rPr>
                <w:rFonts w:ascii="仿宋_GB2312" w:hAnsi="宋体" w:eastAsia="仿宋_GB2312"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8" w:hRule="atLeast"/>
        </w:trPr>
        <w:tc>
          <w:tcPr>
            <w:tcW w:w="1437" w:type="dxa"/>
            <w:vAlign w:val="center"/>
          </w:tcPr>
          <w:p>
            <w:pPr>
              <w:pStyle w:val="11"/>
              <w:spacing w:beforeAutospacing="0" w:afterAutospacing="0" w:line="360" w:lineRule="exact"/>
              <w:jc w:val="center"/>
              <w:rPr>
                <w:rFonts w:ascii="仿宋_GB2312" w:hAnsi="宋体" w:eastAsia="仿宋_GB2312" w:cs="宋体"/>
              </w:rPr>
            </w:pPr>
            <w:bookmarkStart w:id="24" w:name="OLE_LINK84" w:colFirst="1" w:colLast="2"/>
            <w:r>
              <w:rPr>
                <w:rFonts w:ascii="仿宋_GB2312" w:hAnsi="宋体" w:eastAsia="仿宋_GB2312" w:cs="宋体"/>
              </w:rPr>
              <w:t>主管部门</w:t>
            </w:r>
          </w:p>
          <w:p>
            <w:pPr>
              <w:pStyle w:val="11"/>
              <w:spacing w:beforeAutospacing="0" w:afterAutospacing="0" w:line="360" w:lineRule="exact"/>
              <w:jc w:val="center"/>
              <w:rPr>
                <w:rFonts w:ascii="仿宋_GB2312" w:hAnsi="宋体" w:eastAsia="仿宋_GB2312" w:cs="宋体"/>
              </w:rPr>
            </w:pPr>
            <w:r>
              <w:rPr>
                <w:rFonts w:ascii="仿宋_GB2312" w:hAnsi="宋体" w:eastAsia="仿宋_GB2312" w:cs="宋体"/>
              </w:rPr>
              <w:t>负责人签字</w:t>
            </w:r>
          </w:p>
        </w:tc>
        <w:tc>
          <w:tcPr>
            <w:tcW w:w="2782" w:type="dxa"/>
            <w:gridSpan w:val="2"/>
            <w:vAlign w:val="center"/>
          </w:tcPr>
          <w:p>
            <w:pPr>
              <w:pStyle w:val="11"/>
              <w:spacing w:beforeAutospacing="0" w:afterAutospacing="0" w:line="360" w:lineRule="exact"/>
              <w:jc w:val="center"/>
              <w:rPr>
                <w:rFonts w:ascii="仿宋_GB2312" w:hAnsi="宋体" w:eastAsia="仿宋_GB2312" w:cs="宋体"/>
              </w:rPr>
            </w:pPr>
          </w:p>
        </w:tc>
        <w:tc>
          <w:tcPr>
            <w:tcW w:w="1478" w:type="dxa"/>
            <w:gridSpan w:val="2"/>
            <w:vAlign w:val="center"/>
          </w:tcPr>
          <w:p>
            <w:pPr>
              <w:pStyle w:val="11"/>
              <w:spacing w:beforeAutospacing="0" w:afterAutospacing="0" w:line="360" w:lineRule="exact"/>
              <w:jc w:val="center"/>
              <w:rPr>
                <w:rFonts w:ascii="仿宋_GB2312" w:hAnsi="宋体" w:eastAsia="仿宋_GB2312" w:cs="宋体"/>
              </w:rPr>
            </w:pPr>
            <w:r>
              <w:rPr>
                <w:rFonts w:ascii="仿宋_GB2312" w:hAnsi="宋体" w:eastAsia="仿宋_GB2312" w:cs="宋体"/>
              </w:rPr>
              <w:t>主管校长</w:t>
            </w:r>
          </w:p>
          <w:p>
            <w:pPr>
              <w:pStyle w:val="11"/>
              <w:spacing w:beforeAutospacing="0" w:afterAutospacing="0" w:line="360" w:lineRule="exact"/>
              <w:jc w:val="center"/>
              <w:rPr>
                <w:rFonts w:ascii="仿宋_GB2312" w:hAnsi="宋体" w:eastAsia="仿宋_GB2312" w:cs="宋体"/>
              </w:rPr>
            </w:pPr>
            <w:r>
              <w:rPr>
                <w:rFonts w:ascii="仿宋_GB2312" w:hAnsi="宋体" w:eastAsia="仿宋_GB2312" w:cs="宋体"/>
              </w:rPr>
              <w:t>签字</w:t>
            </w:r>
          </w:p>
        </w:tc>
        <w:tc>
          <w:tcPr>
            <w:tcW w:w="2825" w:type="dxa"/>
            <w:gridSpan w:val="2"/>
            <w:vAlign w:val="center"/>
          </w:tcPr>
          <w:p>
            <w:pPr>
              <w:pStyle w:val="11"/>
              <w:spacing w:beforeAutospacing="0" w:afterAutospacing="0" w:line="360" w:lineRule="exact"/>
              <w:jc w:val="center"/>
              <w:rPr>
                <w:rFonts w:ascii="仿宋_GB2312" w:hAnsi="宋体" w:eastAsia="仿宋_GB2312" w:cs="宋体"/>
              </w:rPr>
            </w:pPr>
          </w:p>
        </w:tc>
      </w:tr>
      <w:bookmarkEnd w:id="3"/>
      <w:bookmarkEnd w:id="23"/>
      <w:bookmarkEnd w:id="24"/>
    </w:tbl>
    <w:p>
      <w:pPr>
        <w:pStyle w:val="11"/>
        <w:spacing w:beforeAutospacing="0" w:afterAutospacing="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75E9"/>
    <w:rsid w:val="00066800"/>
    <w:rsid w:val="001E11D7"/>
    <w:rsid w:val="0025417F"/>
    <w:rsid w:val="002B5143"/>
    <w:rsid w:val="00392873"/>
    <w:rsid w:val="003F5394"/>
    <w:rsid w:val="00460FC4"/>
    <w:rsid w:val="004F6598"/>
    <w:rsid w:val="004F6BAA"/>
    <w:rsid w:val="00583053"/>
    <w:rsid w:val="005A0DE6"/>
    <w:rsid w:val="005F5296"/>
    <w:rsid w:val="00617875"/>
    <w:rsid w:val="00845420"/>
    <w:rsid w:val="0091594F"/>
    <w:rsid w:val="00981C56"/>
    <w:rsid w:val="009D454E"/>
    <w:rsid w:val="00A00E8D"/>
    <w:rsid w:val="00A949C4"/>
    <w:rsid w:val="00AB2A85"/>
    <w:rsid w:val="00B07214"/>
    <w:rsid w:val="00BA389F"/>
    <w:rsid w:val="00BD75E9"/>
    <w:rsid w:val="00CA31DE"/>
    <w:rsid w:val="00CB4BE0"/>
    <w:rsid w:val="00CC31A7"/>
    <w:rsid w:val="00CE6BB1"/>
    <w:rsid w:val="00DE0D30"/>
    <w:rsid w:val="00E0748A"/>
    <w:rsid w:val="00E35E3D"/>
    <w:rsid w:val="00E477DE"/>
    <w:rsid w:val="00F42C7E"/>
    <w:rsid w:val="00F57DBB"/>
    <w:rsid w:val="010C6A6F"/>
    <w:rsid w:val="1B333964"/>
    <w:rsid w:val="1B434D41"/>
    <w:rsid w:val="2C2569AC"/>
    <w:rsid w:val="42992F02"/>
    <w:rsid w:val="72325E28"/>
    <w:rsid w:val="798900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link w:val="10"/>
    <w:unhideWhenUsed/>
    <w:qFormat/>
    <w:uiPriority w:val="0"/>
    <w:pPr>
      <w:spacing w:beforeAutospacing="1" w:afterAutospacing="1"/>
      <w:jc w:val="left"/>
      <w:outlineLvl w:val="1"/>
    </w:pPr>
    <w:rPr>
      <w:rFonts w:hint="eastAsia" w:ascii="宋体" w:hAnsi="宋体" w:eastAsia="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table" w:styleId="7">
    <w:name w:val="Table Grid"/>
    <w:basedOn w:val="6"/>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qFormat/>
    <w:uiPriority w:val="0"/>
    <w:rPr>
      <w:b/>
      <w:bCs/>
    </w:rPr>
  </w:style>
  <w:style w:type="character" w:customStyle="1" w:styleId="10">
    <w:name w:val="标题 2 Char"/>
    <w:basedOn w:val="8"/>
    <w:link w:val="2"/>
    <w:uiPriority w:val="0"/>
    <w:rPr>
      <w:rFonts w:ascii="宋体" w:hAnsi="宋体" w:eastAsia="宋体" w:cs="Times New Roman"/>
      <w:b/>
      <w:kern w:val="0"/>
      <w:sz w:val="36"/>
      <w:szCs w:val="36"/>
    </w:rPr>
  </w:style>
  <w:style w:type="paragraph" w:customStyle="1" w:styleId="11">
    <w:name w:val="普通(网站)1"/>
    <w:basedOn w:val="1"/>
    <w:qFormat/>
    <w:uiPriority w:val="0"/>
    <w:pPr>
      <w:spacing w:beforeAutospacing="1" w:afterAutospacing="1"/>
      <w:jc w:val="left"/>
    </w:pPr>
    <w:rPr>
      <w:rFonts w:ascii="Calibri" w:hAnsi="Calibri" w:eastAsia="宋体"/>
      <w:kern w:val="0"/>
      <w:sz w:val="24"/>
    </w:rPr>
  </w:style>
  <w:style w:type="character" w:customStyle="1" w:styleId="12">
    <w:name w:val="页眉 Char"/>
    <w:basedOn w:val="8"/>
    <w:link w:val="4"/>
    <w:semiHidden/>
    <w:qFormat/>
    <w:uiPriority w:val="99"/>
    <w:rPr>
      <w:rFonts w:ascii="Times New Roman" w:hAnsi="Times New Roman" w:eastAsia="仿宋_GB2312" w:cs="Times New Roman"/>
      <w:sz w:val="18"/>
      <w:szCs w:val="18"/>
    </w:rPr>
  </w:style>
  <w:style w:type="character" w:customStyle="1" w:styleId="13">
    <w:name w:val="页脚 Char"/>
    <w:basedOn w:val="8"/>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589</Words>
  <Characters>3361</Characters>
  <Lines>28</Lines>
  <Paragraphs>7</Paragraphs>
  <TotalTime>12</TotalTime>
  <ScaleCrop>false</ScaleCrop>
  <LinksUpToDate>false</LinksUpToDate>
  <CharactersWithSpaces>3943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2018-03-06T03:02:00Z</dcterms:created>
  <dc:creator>hp</dc:creator>
  <cp:lastModifiedBy>Administrator</cp:lastModifiedBy>
  <dcterms:modified xsi:type="dcterms:W3CDTF">2021-11-26T07:16:56Z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A4BA7411C5644BB594B00D387DEFCCE1</vt:lpwstr>
  </property>
</Properties>
</file>