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cs="Times New Roman" w:asciiTheme="minorEastAsia" w:hAnsiTheme="minorEastAsia"/>
          <w:b/>
          <w:bCs/>
          <w:sz w:val="28"/>
          <w:szCs w:val="28"/>
        </w:rPr>
        <w:t>关于举办第四届国家中心城市建设高层论坛的</w:t>
      </w:r>
    </w:p>
    <w:p>
      <w:pPr>
        <w:spacing w:line="360" w:lineRule="auto"/>
        <w:jc w:val="center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cs="Times New Roman" w:asciiTheme="minorEastAsia" w:hAnsiTheme="minorEastAsia"/>
          <w:b/>
          <w:bCs/>
          <w:sz w:val="28"/>
          <w:szCs w:val="28"/>
        </w:rPr>
        <w:t>通知</w:t>
      </w:r>
    </w:p>
    <w:p>
      <w:pPr>
        <w:spacing w:line="360" w:lineRule="auto"/>
        <w:jc w:val="center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sz w:val="28"/>
          <w:szCs w:val="28"/>
        </w:rPr>
        <w:t>（第二号）</w:t>
      </w:r>
    </w:p>
    <w:p>
      <w:pPr>
        <w:spacing w:line="360" w:lineRule="auto"/>
        <w:ind w:firstLine="540" w:firstLineChars="200"/>
        <w:rPr>
          <w:rFonts w:ascii="楷体" w:hAnsi="楷体" w:eastAsia="楷体" w:cs="Times New Roman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color w:val="000000"/>
          <w:sz w:val="27"/>
          <w:szCs w:val="27"/>
          <w:shd w:val="clear" w:color="auto" w:fill="FFFFFF"/>
        </w:rPr>
        <w:t>加快构建以国内大循环为主体、国内国际双循环相互促进的新发展格局，是以习近平同志为核心的党中央科学把握国内外发展大势，根据我国发展阶段、环境、条件变化作出的战略决策</w:t>
      </w:r>
      <w:r>
        <w:rPr>
          <w:rFonts w:hint="eastAsia" w:ascii="楷体" w:hAnsi="楷体" w:eastAsia="楷体" w:cs="Times New Roman"/>
          <w:color w:val="333333"/>
          <w:sz w:val="28"/>
          <w:szCs w:val="28"/>
          <w:shd w:val="clear" w:color="auto" w:fill="FFFFFF"/>
        </w:rPr>
        <w:t>。为全面贯彻落实党中央重大战略决策，更好发挥</w:t>
      </w:r>
      <w:r>
        <w:rPr>
          <w:rFonts w:ascii="楷体" w:hAnsi="楷体" w:eastAsia="楷体" w:cs="Times New Roman"/>
          <w:color w:val="333333"/>
          <w:sz w:val="28"/>
          <w:szCs w:val="28"/>
          <w:shd w:val="clear" w:color="auto" w:fill="FFFFFF"/>
        </w:rPr>
        <w:t>国家中心城市</w:t>
      </w:r>
      <w:r>
        <w:rPr>
          <w:rFonts w:hint="eastAsia" w:ascii="楷体" w:hAnsi="楷体" w:eastAsia="楷体" w:cs="Times New Roman"/>
          <w:color w:val="333333"/>
          <w:sz w:val="28"/>
          <w:szCs w:val="28"/>
          <w:shd w:val="clear" w:color="auto" w:fill="FFFFFF"/>
        </w:rPr>
        <w:t>在面向新发展阶段、贯彻新发展理念、构建新发展格局中的引领作用，推动</w:t>
      </w:r>
      <w:r>
        <w:rPr>
          <w:rFonts w:ascii="楷体" w:hAnsi="楷体" w:eastAsia="楷体" w:cs="Times New Roman"/>
          <w:color w:val="333333"/>
          <w:sz w:val="28"/>
          <w:szCs w:val="28"/>
          <w:shd w:val="clear" w:color="auto" w:fill="FFFFFF"/>
        </w:rPr>
        <w:t>国家中心城市</w:t>
      </w:r>
      <w:r>
        <w:rPr>
          <w:rFonts w:hint="eastAsia" w:ascii="楷体" w:hAnsi="楷体" w:eastAsia="楷体" w:cs="Times New Roman"/>
          <w:color w:val="333333"/>
          <w:sz w:val="28"/>
          <w:szCs w:val="28"/>
          <w:shd w:val="clear" w:color="auto" w:fill="FFFFFF"/>
        </w:rPr>
        <w:t>及特大城市高质量发展，经研究决定，</w:t>
      </w:r>
      <w:r>
        <w:rPr>
          <w:rFonts w:ascii="楷体" w:hAnsi="楷体" w:eastAsia="楷体" w:cs="Times New Roman"/>
          <w:color w:val="333333"/>
          <w:sz w:val="28"/>
          <w:szCs w:val="28"/>
          <w:shd w:val="clear" w:color="auto" w:fill="FFFFFF"/>
        </w:rPr>
        <w:t>第四届国家中心城市建设高层论坛拟于2021年</w:t>
      </w:r>
      <w:r>
        <w:rPr>
          <w:rFonts w:hint="eastAsia" w:ascii="楷体" w:hAnsi="楷体" w:eastAsia="楷体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楷体" w:hAnsi="楷体" w:eastAsia="楷体" w:cs="Times New Roman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楷体" w:hAnsi="楷体" w:eastAsia="楷体" w:cs="Times New Roman"/>
          <w:color w:val="333333"/>
          <w:sz w:val="28"/>
          <w:szCs w:val="28"/>
          <w:shd w:val="clear" w:color="auto" w:fill="FFFFFF"/>
        </w:rPr>
        <w:t>15日召开，中国区域经济学会、中国国际经济交流中心、中国社会科学院等高端智库及高校的领导和专家将应邀出席，并围绕会议主题发表主旨演讲。现将有关事项通知如下：</w:t>
      </w:r>
    </w:p>
    <w:p>
      <w:pPr>
        <w:spacing w:line="36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ascii="楷体" w:hAnsi="楷体" w:eastAsia="楷体" w:cs="Times New Roman"/>
          <w:b/>
          <w:bCs/>
          <w:sz w:val="28"/>
          <w:szCs w:val="28"/>
        </w:rPr>
        <w:t>一、论坛主题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ascii="楷体" w:hAnsi="楷体" w:eastAsia="楷体" w:cs="Times New Roman"/>
          <w:sz w:val="28"/>
          <w:szCs w:val="28"/>
        </w:rPr>
        <w:t>双循环格局下的特大型城市建设</w:t>
      </w:r>
    </w:p>
    <w:p>
      <w:pPr>
        <w:spacing w:line="36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ascii="楷体" w:hAnsi="楷体" w:eastAsia="楷体" w:cs="Times New Roman"/>
          <w:b/>
          <w:bCs/>
          <w:sz w:val="28"/>
          <w:szCs w:val="28"/>
        </w:rPr>
        <w:t>二、主办承办单位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Times New Roman"/>
          <w:sz w:val="28"/>
          <w:szCs w:val="28"/>
        </w:rPr>
        <w:t>中国区域经济学会、郑州师范学院、河南省高校智库联盟主办</w:t>
      </w:r>
      <w:r>
        <w:rPr>
          <w:rFonts w:hint="eastAsia" w:ascii="楷体" w:hAnsi="楷体" w:eastAsia="楷体" w:cs="Times New Roman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Times New Roman"/>
          <w:sz w:val="28"/>
          <w:szCs w:val="28"/>
        </w:rPr>
        <w:t>中国区域经济学会国家中心城市专业委员会、郑州国家中心城市研究院、</w:t>
      </w:r>
      <w:r>
        <w:rPr>
          <w:rFonts w:hint="eastAsia" w:ascii="楷体" w:hAnsi="楷体" w:eastAsia="楷体" w:cs="Times New Roman"/>
          <w:sz w:val="28"/>
          <w:szCs w:val="28"/>
        </w:rPr>
        <w:t>河南中原创新发展研究院、《</w:t>
      </w:r>
      <w:r>
        <w:rPr>
          <w:rFonts w:ascii="楷体" w:hAnsi="楷体" w:eastAsia="楷体" w:cs="Times New Roman"/>
          <w:sz w:val="28"/>
          <w:szCs w:val="28"/>
        </w:rPr>
        <w:t>区域经济评论</w:t>
      </w:r>
      <w:r>
        <w:rPr>
          <w:rFonts w:hint="eastAsia" w:ascii="楷体" w:hAnsi="楷体" w:eastAsia="楷体" w:cs="Times New Roman"/>
          <w:sz w:val="28"/>
          <w:szCs w:val="28"/>
        </w:rPr>
        <w:t>》</w:t>
      </w:r>
      <w:r>
        <w:rPr>
          <w:rFonts w:ascii="楷体" w:hAnsi="楷体" w:eastAsia="楷体" w:cs="Times New Roman"/>
          <w:sz w:val="28"/>
          <w:szCs w:val="28"/>
        </w:rPr>
        <w:t>杂志社承办</w:t>
      </w:r>
    </w:p>
    <w:p>
      <w:pPr>
        <w:spacing w:line="360" w:lineRule="auto"/>
        <w:ind w:firstLine="562" w:firstLineChars="200"/>
        <w:rPr>
          <w:rFonts w:ascii="楷体" w:hAnsi="楷体" w:eastAsia="楷体" w:cs="Times New Roman"/>
          <w:b/>
          <w:sz w:val="28"/>
          <w:szCs w:val="28"/>
        </w:rPr>
      </w:pPr>
      <w:r>
        <w:rPr>
          <w:rFonts w:ascii="楷体" w:hAnsi="楷体" w:eastAsia="楷体" w:cs="Times New Roman"/>
          <w:b/>
          <w:sz w:val="28"/>
          <w:szCs w:val="28"/>
        </w:rPr>
        <w:t>三、</w:t>
      </w:r>
      <w:r>
        <w:rPr>
          <w:rFonts w:hint="eastAsia" w:ascii="楷体" w:hAnsi="楷体" w:eastAsia="楷体" w:cs="Times New Roman"/>
          <w:b/>
          <w:sz w:val="28"/>
          <w:szCs w:val="28"/>
        </w:rPr>
        <w:t>论文参考选题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b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1.特大型城市高质量发展研究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2.特大型城市深化供给侧结构性改革研究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3.特大型城市强化需求侧管理研究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4.特大型城市增强产业链供应链自主可控能力研究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5.特大型城市加强创新链和产业链对接研究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6.特大型城市产业链供应链安全稳定问题研究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7.特大型城市统筹推进补齐短板和锻造长板问题研究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8.特大型城市推进产业结构全面优化升级研究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9.特大型城市实施产业基础再造工程研究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10.特大型城市培育完整内需体系问题研究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11.特大型城市扩大居民消费提升消费层次研究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12.特大型城市合理增加公共消费问题研究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13.特大型城市</w:t>
      </w:r>
      <w:r>
        <w:rPr>
          <w:rFonts w:ascii="楷体" w:hAnsi="楷体" w:eastAsia="楷体" w:cs="Times New Roman"/>
          <w:sz w:val="28"/>
          <w:szCs w:val="28"/>
        </w:rPr>
        <w:t>打造</w:t>
      </w:r>
      <w:r>
        <w:rPr>
          <w:rFonts w:hint="eastAsia" w:ascii="楷体" w:hAnsi="楷体" w:eastAsia="楷体" w:cs="Times New Roman"/>
          <w:sz w:val="28"/>
          <w:szCs w:val="28"/>
        </w:rPr>
        <w:t>成为</w:t>
      </w:r>
      <w:r>
        <w:rPr>
          <w:rFonts w:ascii="楷体" w:hAnsi="楷体" w:eastAsia="楷体" w:cs="Times New Roman"/>
          <w:sz w:val="28"/>
          <w:szCs w:val="28"/>
        </w:rPr>
        <w:t>国际消费中心城市</w:t>
      </w:r>
      <w:r>
        <w:rPr>
          <w:rFonts w:hint="eastAsia" w:ascii="楷体" w:hAnsi="楷体" w:eastAsia="楷体" w:cs="Times New Roman"/>
          <w:sz w:val="28"/>
          <w:szCs w:val="28"/>
        </w:rPr>
        <w:t>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14.特大型城市激发全社会投资活力研究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15.特大型城市实行高水平对外开放研究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16.特大型城市塑造参与国际合作和竞争新优势研究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17.特大型城市落实碳达峰碳中和决策部署研究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18.特大型城市有效防范化解各类经济社会风险研究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19.特大型城市引领都市圈、城市群发展研究</w:t>
      </w:r>
    </w:p>
    <w:p>
      <w:pPr>
        <w:spacing w:line="360" w:lineRule="auto"/>
        <w:ind w:firstLine="555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20.特大型城市建设与区域协调发展研究</w:t>
      </w:r>
    </w:p>
    <w:p>
      <w:pPr>
        <w:spacing w:line="360" w:lineRule="auto"/>
        <w:ind w:firstLine="555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hint="eastAsia" w:ascii="楷体" w:hAnsi="楷体" w:eastAsia="楷体" w:cs="Times New Roman"/>
          <w:b/>
          <w:bCs/>
          <w:sz w:val="28"/>
          <w:szCs w:val="28"/>
        </w:rPr>
        <w:t>四、召开时间、方式、地点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1.召开时间：暂定2021年5月15日（周六）；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2.召开方式：拟取线下方式；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3.会议地点：郑州黄河迎宾馆、郑州师范学院。</w:t>
      </w:r>
    </w:p>
    <w:p>
      <w:pPr>
        <w:spacing w:line="36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ascii="楷体" w:hAnsi="楷体" w:eastAsia="楷体" w:cs="Times New Roman"/>
          <w:b/>
          <w:bCs/>
          <w:sz w:val="28"/>
          <w:szCs w:val="28"/>
        </w:rPr>
        <w:t>五、</w:t>
      </w:r>
      <w:r>
        <w:rPr>
          <w:rFonts w:hint="eastAsia" w:ascii="楷体" w:hAnsi="楷体" w:eastAsia="楷体" w:cs="Times New Roman"/>
          <w:b/>
          <w:bCs/>
          <w:sz w:val="28"/>
          <w:szCs w:val="28"/>
        </w:rPr>
        <w:t>征集</w:t>
      </w:r>
      <w:r>
        <w:rPr>
          <w:rFonts w:ascii="楷体" w:hAnsi="楷体" w:eastAsia="楷体" w:cs="Times New Roman"/>
          <w:b/>
          <w:bCs/>
          <w:sz w:val="28"/>
          <w:szCs w:val="28"/>
        </w:rPr>
        <w:t>论文</w:t>
      </w:r>
      <w:r>
        <w:rPr>
          <w:rFonts w:hint="eastAsia" w:ascii="楷体" w:hAnsi="楷体" w:eastAsia="楷体" w:cs="Times New Roman"/>
          <w:b/>
          <w:bCs/>
          <w:sz w:val="28"/>
          <w:szCs w:val="28"/>
        </w:rPr>
        <w:t>撰写规范要求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ascii="楷体" w:hAnsi="楷体" w:eastAsia="楷体" w:cs="Times New Roman"/>
          <w:bCs/>
          <w:sz w:val="28"/>
          <w:szCs w:val="28"/>
        </w:rPr>
        <w:t>1.围绕论坛主题</w:t>
      </w:r>
      <w:r>
        <w:rPr>
          <w:rFonts w:hint="eastAsia" w:ascii="楷体" w:hAnsi="楷体" w:eastAsia="楷体" w:cs="Times New Roman"/>
          <w:bCs/>
          <w:sz w:val="28"/>
          <w:szCs w:val="28"/>
        </w:rPr>
        <w:t>，题目自拟</w:t>
      </w:r>
      <w:r>
        <w:rPr>
          <w:rFonts w:ascii="楷体" w:hAnsi="楷体" w:eastAsia="楷体" w:cs="Times New Roman"/>
          <w:bCs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ascii="楷体" w:hAnsi="楷体" w:eastAsia="楷体" w:cs="Times New Roman"/>
          <w:bCs/>
          <w:sz w:val="28"/>
          <w:szCs w:val="28"/>
        </w:rPr>
        <w:t>2.</w:t>
      </w:r>
      <w:r>
        <w:rPr>
          <w:rFonts w:hint="eastAsia" w:ascii="楷体" w:hAnsi="楷体" w:eastAsia="楷体" w:cs="Times New Roman"/>
          <w:bCs/>
          <w:sz w:val="28"/>
          <w:szCs w:val="28"/>
        </w:rPr>
        <w:t>坚守</w:t>
      </w:r>
      <w:r>
        <w:rPr>
          <w:rFonts w:ascii="楷体" w:hAnsi="楷体" w:eastAsia="楷体" w:cs="Times New Roman"/>
          <w:bCs/>
          <w:sz w:val="28"/>
          <w:szCs w:val="28"/>
        </w:rPr>
        <w:t>政治</w:t>
      </w:r>
      <w:r>
        <w:rPr>
          <w:rFonts w:hint="eastAsia" w:ascii="楷体" w:hAnsi="楷体" w:eastAsia="楷体" w:cs="Times New Roman"/>
          <w:bCs/>
          <w:sz w:val="28"/>
          <w:szCs w:val="28"/>
        </w:rPr>
        <w:t>纪律</w:t>
      </w:r>
      <w:r>
        <w:rPr>
          <w:rFonts w:ascii="楷体" w:hAnsi="楷体" w:eastAsia="楷体" w:cs="Times New Roman"/>
          <w:bCs/>
          <w:sz w:val="28"/>
          <w:szCs w:val="28"/>
        </w:rPr>
        <w:t>，</w:t>
      </w:r>
      <w:r>
        <w:rPr>
          <w:rFonts w:hint="eastAsia" w:ascii="楷体" w:hAnsi="楷体" w:eastAsia="楷体" w:cs="Times New Roman"/>
          <w:bCs/>
          <w:sz w:val="28"/>
          <w:szCs w:val="28"/>
        </w:rPr>
        <w:t>观点鲜明，</w:t>
      </w:r>
      <w:r>
        <w:rPr>
          <w:rFonts w:ascii="楷体" w:hAnsi="楷体" w:eastAsia="楷体" w:cs="Times New Roman"/>
          <w:bCs/>
          <w:sz w:val="28"/>
          <w:szCs w:val="28"/>
        </w:rPr>
        <w:t>文风端正，</w:t>
      </w:r>
      <w:r>
        <w:rPr>
          <w:rFonts w:hint="eastAsia" w:ascii="楷体" w:hAnsi="楷体" w:eastAsia="楷体" w:cs="Times New Roman"/>
          <w:bCs/>
          <w:sz w:val="28"/>
          <w:szCs w:val="28"/>
        </w:rPr>
        <w:t>数据准确，</w:t>
      </w:r>
      <w:r>
        <w:rPr>
          <w:rFonts w:ascii="楷体" w:hAnsi="楷体" w:eastAsia="楷体" w:cs="Times New Roman"/>
          <w:bCs/>
          <w:sz w:val="28"/>
          <w:szCs w:val="28"/>
        </w:rPr>
        <w:t>尚未发表，每篇不少于8000字；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ascii="楷体" w:hAnsi="楷体" w:eastAsia="楷体" w:cs="Times New Roman"/>
          <w:bCs/>
          <w:sz w:val="28"/>
          <w:szCs w:val="28"/>
        </w:rPr>
        <w:t>3.论文格式：参照《区域经济评论》要求，应包括题目、作者简介（需注明姓名、单位、职称、研究方向、电话、电子信箱等信息）、摘要、关键词、正文、参考文献等要素，采用word文档格式；摘要200－300字，关键词3至5个；所有数据均需要注明出处。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ascii="楷体" w:hAnsi="楷体" w:eastAsia="楷体" w:cs="Times New Roman"/>
          <w:bCs/>
          <w:sz w:val="28"/>
          <w:szCs w:val="28"/>
        </w:rPr>
        <w:t>4.以电子邮件方式，将论文稿件发送至高层论坛会务组，投稿邮箱为：zzgjzxcsyjy@zznu.edu.cn；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ascii="楷体" w:hAnsi="楷体" w:eastAsia="楷体" w:cs="Times New Roman"/>
          <w:bCs/>
          <w:sz w:val="28"/>
          <w:szCs w:val="28"/>
        </w:rPr>
        <w:t>5.投稿需注明“第</w:t>
      </w:r>
      <w:r>
        <w:rPr>
          <w:rFonts w:hint="eastAsia" w:ascii="楷体" w:hAnsi="楷体" w:eastAsia="楷体" w:cs="Times New Roman"/>
          <w:bCs/>
          <w:sz w:val="28"/>
          <w:szCs w:val="28"/>
        </w:rPr>
        <w:t>四</w:t>
      </w:r>
      <w:r>
        <w:rPr>
          <w:rFonts w:ascii="楷体" w:hAnsi="楷体" w:eastAsia="楷体" w:cs="Times New Roman"/>
          <w:bCs/>
          <w:sz w:val="28"/>
          <w:szCs w:val="28"/>
        </w:rPr>
        <w:t>届国家中心城市建设高层论坛投稿+姓名”字样；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ascii="楷体" w:hAnsi="楷体" w:eastAsia="楷体" w:cs="Times New Roman"/>
          <w:bCs/>
          <w:sz w:val="28"/>
          <w:szCs w:val="28"/>
        </w:rPr>
        <w:t>6.论文截稿时间</w:t>
      </w:r>
      <w:r>
        <w:rPr>
          <w:rFonts w:hint="eastAsia" w:ascii="楷体" w:hAnsi="楷体" w:eastAsia="楷体" w:cs="Times New Roman"/>
          <w:bCs/>
          <w:sz w:val="28"/>
          <w:szCs w:val="28"/>
        </w:rPr>
        <w:t>为</w:t>
      </w:r>
      <w:r>
        <w:rPr>
          <w:rFonts w:ascii="楷体" w:hAnsi="楷体" w:eastAsia="楷体" w:cs="Times New Roman"/>
          <w:bCs/>
          <w:sz w:val="28"/>
          <w:szCs w:val="28"/>
        </w:rPr>
        <w:t>2021年</w:t>
      </w:r>
      <w:r>
        <w:rPr>
          <w:rFonts w:hint="eastAsia" w:ascii="楷体" w:hAnsi="楷体" w:eastAsia="楷体" w:cs="Times New Roman"/>
          <w:bCs/>
          <w:sz w:val="28"/>
          <w:szCs w:val="28"/>
        </w:rPr>
        <w:t>4</w:t>
      </w:r>
      <w:r>
        <w:rPr>
          <w:rFonts w:ascii="楷体" w:hAnsi="楷体" w:eastAsia="楷体" w:cs="Times New Roman"/>
          <w:bCs/>
          <w:sz w:val="28"/>
          <w:szCs w:val="28"/>
        </w:rPr>
        <w:t>月</w:t>
      </w:r>
      <w:r>
        <w:rPr>
          <w:rFonts w:hint="eastAsia" w:ascii="楷体" w:hAnsi="楷体" w:eastAsia="楷体" w:cs="Times New Roman"/>
          <w:bCs/>
          <w:sz w:val="28"/>
          <w:szCs w:val="28"/>
        </w:rPr>
        <w:t>30</w:t>
      </w:r>
      <w:r>
        <w:rPr>
          <w:rFonts w:ascii="楷体" w:hAnsi="楷体" w:eastAsia="楷体" w:cs="Times New Roman"/>
          <w:bCs/>
          <w:sz w:val="28"/>
          <w:szCs w:val="28"/>
        </w:rPr>
        <w:t>日。</w:t>
      </w:r>
    </w:p>
    <w:p>
      <w:pPr>
        <w:spacing w:line="360" w:lineRule="auto"/>
        <w:ind w:firstLine="562" w:firstLineChars="200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ascii="楷体" w:hAnsi="楷体" w:eastAsia="楷体" w:cs="Times New Roman"/>
          <w:b/>
          <w:bCs/>
          <w:sz w:val="28"/>
          <w:szCs w:val="28"/>
        </w:rPr>
        <w:t>六、</w:t>
      </w:r>
      <w:r>
        <w:rPr>
          <w:rFonts w:hint="eastAsia" w:ascii="楷体" w:hAnsi="楷体" w:eastAsia="楷体" w:cs="Times New Roman"/>
          <w:b/>
          <w:bCs/>
          <w:sz w:val="28"/>
          <w:szCs w:val="28"/>
        </w:rPr>
        <w:t>会务</w:t>
      </w:r>
      <w:r>
        <w:rPr>
          <w:rFonts w:ascii="楷体" w:hAnsi="楷体" w:eastAsia="楷体" w:cs="Times New Roman"/>
          <w:b/>
          <w:bCs/>
          <w:sz w:val="28"/>
          <w:szCs w:val="28"/>
        </w:rPr>
        <w:t>联系方式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联系人：</w:t>
      </w:r>
      <w:r>
        <w:rPr>
          <w:rFonts w:ascii="楷体" w:hAnsi="楷体" w:eastAsia="楷体" w:cs="Times New Roman"/>
          <w:bCs/>
          <w:sz w:val="28"/>
          <w:szCs w:val="28"/>
        </w:rPr>
        <w:t>苗金科</w:t>
      </w:r>
      <w:r>
        <w:rPr>
          <w:rFonts w:hint="eastAsia" w:ascii="楷体" w:hAnsi="楷体" w:eastAsia="楷体" w:cs="Times New Roman"/>
          <w:bCs/>
          <w:sz w:val="28"/>
          <w:szCs w:val="28"/>
        </w:rPr>
        <w:t>（</w:t>
      </w:r>
      <w:r>
        <w:rPr>
          <w:rFonts w:ascii="楷体" w:hAnsi="楷体" w:eastAsia="楷体" w:cs="Times New Roman"/>
          <w:bCs/>
          <w:sz w:val="28"/>
          <w:szCs w:val="28"/>
        </w:rPr>
        <w:t>15137150725</w:t>
      </w:r>
      <w:r>
        <w:rPr>
          <w:rFonts w:hint="eastAsia" w:ascii="楷体" w:hAnsi="楷体" w:eastAsia="楷体" w:cs="Times New Roman"/>
          <w:bCs/>
          <w:sz w:val="28"/>
          <w:szCs w:val="28"/>
        </w:rPr>
        <w:t>），</w:t>
      </w:r>
      <w:r>
        <w:rPr>
          <w:rFonts w:ascii="楷体" w:hAnsi="楷体" w:eastAsia="楷体" w:cs="Times New Roman"/>
          <w:bCs/>
          <w:sz w:val="28"/>
          <w:szCs w:val="28"/>
        </w:rPr>
        <w:t>辛 绢</w:t>
      </w:r>
      <w:r>
        <w:rPr>
          <w:rFonts w:hint="eastAsia" w:ascii="楷体" w:hAnsi="楷体" w:eastAsia="楷体" w:cs="Times New Roman"/>
          <w:bCs/>
          <w:sz w:val="28"/>
          <w:szCs w:val="28"/>
        </w:rPr>
        <w:t>（</w:t>
      </w:r>
      <w:r>
        <w:rPr>
          <w:rFonts w:ascii="楷体" w:hAnsi="楷体" w:eastAsia="楷体" w:cs="Times New Roman"/>
          <w:bCs/>
          <w:sz w:val="28"/>
          <w:szCs w:val="28"/>
        </w:rPr>
        <w:t>17760739200</w:t>
      </w:r>
      <w:r>
        <w:rPr>
          <w:rFonts w:hint="eastAsia" w:ascii="楷体" w:hAnsi="楷体" w:eastAsia="楷体" w:cs="Times New Roman"/>
          <w:bCs/>
          <w:sz w:val="28"/>
          <w:szCs w:val="28"/>
        </w:rPr>
        <w:t>）；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Times New Roman"/>
          <w:sz w:val="28"/>
          <w:szCs w:val="28"/>
        </w:rPr>
        <w:t>联系电话：0371-65502636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投稿</w:t>
      </w:r>
      <w:r>
        <w:rPr>
          <w:rFonts w:ascii="楷体" w:hAnsi="楷体" w:eastAsia="楷体" w:cs="Times New Roman"/>
          <w:sz w:val="28"/>
          <w:szCs w:val="28"/>
        </w:rPr>
        <w:t>邮箱：zzgjzxcsyjy@zznu.edu.cn</w:t>
      </w:r>
    </w:p>
    <w:p>
      <w:pPr>
        <w:spacing w:line="360" w:lineRule="auto"/>
        <w:rPr>
          <w:rFonts w:ascii="楷体" w:hAnsi="楷体" w:eastAsia="楷体" w:cs="Times New Roman"/>
          <w:sz w:val="28"/>
          <w:szCs w:val="28"/>
        </w:rPr>
      </w:pPr>
    </w:p>
    <w:p>
      <w:pPr>
        <w:ind w:firstLine="4480" w:firstLineChars="16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ascii="楷体" w:hAnsi="楷体" w:eastAsia="楷体" w:cs="Times New Roman"/>
          <w:bCs/>
          <w:sz w:val="28"/>
          <w:szCs w:val="28"/>
        </w:rPr>
        <w:t>中国区域经济学会</w:t>
      </w:r>
    </w:p>
    <w:p>
      <w:pPr>
        <w:rPr>
          <w:rFonts w:ascii="楷体" w:hAnsi="楷体" w:eastAsia="楷体" w:cs="Times New Roman"/>
          <w:bCs/>
          <w:sz w:val="28"/>
          <w:szCs w:val="28"/>
        </w:rPr>
      </w:pPr>
      <w:r>
        <w:rPr>
          <w:rFonts w:ascii="楷体" w:hAnsi="楷体" w:eastAsia="楷体" w:cs="Times New Roman"/>
          <w:bCs/>
          <w:sz w:val="28"/>
          <w:szCs w:val="28"/>
        </w:rPr>
        <w:t xml:space="preserve">                               </w:t>
      </w:r>
      <w:r>
        <w:rPr>
          <w:rFonts w:hint="eastAsia" w:ascii="楷体" w:hAnsi="楷体" w:eastAsia="楷体" w:cs="Times New Roman"/>
          <w:bCs/>
          <w:sz w:val="28"/>
          <w:szCs w:val="28"/>
          <w:lang w:val="en-US" w:eastAsia="zh-CN"/>
        </w:rPr>
        <w:t xml:space="preserve">   </w:t>
      </w:r>
      <w:r>
        <w:rPr>
          <w:rFonts w:ascii="楷体" w:hAnsi="楷体" w:eastAsia="楷体" w:cs="Times New Roman"/>
          <w:bCs/>
          <w:sz w:val="28"/>
          <w:szCs w:val="28"/>
        </w:rPr>
        <w:t>郑州师范学院</w:t>
      </w:r>
      <w:bookmarkStart w:id="0" w:name="_GoBack"/>
      <w:bookmarkEnd w:id="0"/>
    </w:p>
    <w:p>
      <w:pPr>
        <w:rPr>
          <w:rFonts w:ascii="楷体" w:hAnsi="楷体" w:eastAsia="楷体" w:cs="Times New Roman"/>
          <w:bCs/>
          <w:sz w:val="28"/>
          <w:szCs w:val="28"/>
        </w:rPr>
      </w:pPr>
      <w:r>
        <w:rPr>
          <w:rFonts w:ascii="楷体" w:hAnsi="楷体" w:eastAsia="楷体" w:cs="Times New Roman"/>
          <w:bCs/>
          <w:sz w:val="28"/>
          <w:szCs w:val="28"/>
        </w:rPr>
        <w:t xml:space="preserve">                               </w:t>
      </w:r>
      <w:r>
        <w:rPr>
          <w:rFonts w:hint="eastAsia" w:ascii="楷体" w:hAnsi="楷体" w:eastAsia="楷体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ascii="楷体" w:hAnsi="楷体" w:eastAsia="楷体" w:cs="Times New Roman"/>
          <w:bCs/>
          <w:sz w:val="28"/>
          <w:szCs w:val="28"/>
        </w:rPr>
        <w:t>河南省高校智库联盟</w:t>
      </w:r>
    </w:p>
    <w:p>
      <w:pPr>
        <w:spacing w:line="360" w:lineRule="auto"/>
        <w:jc w:val="right"/>
        <w:rPr>
          <w:rFonts w:ascii="楷体" w:hAnsi="楷体" w:eastAsia="楷体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Times New Roman"/>
          <w:sz w:val="28"/>
          <w:szCs w:val="28"/>
        </w:rPr>
        <w:t xml:space="preserve">                                           2021年</w:t>
      </w:r>
      <w:r>
        <w:rPr>
          <w:rFonts w:hint="eastAsia" w:ascii="楷体" w:hAnsi="楷体" w:eastAsia="楷体" w:cs="Times New Roman"/>
          <w:sz w:val="28"/>
          <w:szCs w:val="28"/>
        </w:rPr>
        <w:t>3</w:t>
      </w:r>
      <w:r>
        <w:rPr>
          <w:rFonts w:ascii="楷体" w:hAnsi="楷体" w:eastAsia="楷体" w:cs="Times New Roman"/>
          <w:sz w:val="28"/>
          <w:szCs w:val="28"/>
        </w:rPr>
        <w:t>月</w:t>
      </w:r>
      <w:r>
        <w:rPr>
          <w:rFonts w:hint="eastAsia" w:ascii="楷体" w:hAnsi="楷体" w:eastAsia="楷体" w:cs="Times New Roman"/>
          <w:sz w:val="28"/>
          <w:szCs w:val="28"/>
        </w:rPr>
        <w:t>22</w:t>
      </w:r>
      <w:r>
        <w:rPr>
          <w:rFonts w:ascii="楷体" w:hAnsi="楷体" w:eastAsia="楷体" w:cs="Times New Roman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444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9327E1"/>
    <w:rsid w:val="000746F0"/>
    <w:rsid w:val="0008775E"/>
    <w:rsid w:val="0015518D"/>
    <w:rsid w:val="00181334"/>
    <w:rsid w:val="00195316"/>
    <w:rsid w:val="001A31B8"/>
    <w:rsid w:val="00252A52"/>
    <w:rsid w:val="0026796F"/>
    <w:rsid w:val="0027460F"/>
    <w:rsid w:val="002C6543"/>
    <w:rsid w:val="002D5314"/>
    <w:rsid w:val="002E31D3"/>
    <w:rsid w:val="00384A46"/>
    <w:rsid w:val="003B5273"/>
    <w:rsid w:val="003C6BC8"/>
    <w:rsid w:val="00452FA3"/>
    <w:rsid w:val="004F60CA"/>
    <w:rsid w:val="005017D7"/>
    <w:rsid w:val="00511BE7"/>
    <w:rsid w:val="00562955"/>
    <w:rsid w:val="005A076A"/>
    <w:rsid w:val="005C0899"/>
    <w:rsid w:val="00614452"/>
    <w:rsid w:val="00616210"/>
    <w:rsid w:val="00644512"/>
    <w:rsid w:val="006754ED"/>
    <w:rsid w:val="007211BE"/>
    <w:rsid w:val="00723245"/>
    <w:rsid w:val="00767A49"/>
    <w:rsid w:val="00773318"/>
    <w:rsid w:val="007B5002"/>
    <w:rsid w:val="007E4DBC"/>
    <w:rsid w:val="00864D12"/>
    <w:rsid w:val="00882A0E"/>
    <w:rsid w:val="008A0F5F"/>
    <w:rsid w:val="008A76D1"/>
    <w:rsid w:val="00912E7F"/>
    <w:rsid w:val="0098014B"/>
    <w:rsid w:val="009A575F"/>
    <w:rsid w:val="009F2AE1"/>
    <w:rsid w:val="00A04FB7"/>
    <w:rsid w:val="00A078C2"/>
    <w:rsid w:val="00A208DC"/>
    <w:rsid w:val="00A40431"/>
    <w:rsid w:val="00A6796A"/>
    <w:rsid w:val="00A93762"/>
    <w:rsid w:val="00AC0406"/>
    <w:rsid w:val="00B16C2C"/>
    <w:rsid w:val="00B65938"/>
    <w:rsid w:val="00BC04C8"/>
    <w:rsid w:val="00C42EF1"/>
    <w:rsid w:val="00C76EBD"/>
    <w:rsid w:val="00CA79B1"/>
    <w:rsid w:val="00DB62C9"/>
    <w:rsid w:val="00DC218A"/>
    <w:rsid w:val="00E30219"/>
    <w:rsid w:val="00E41C47"/>
    <w:rsid w:val="00E47232"/>
    <w:rsid w:val="00E71D25"/>
    <w:rsid w:val="00EC7822"/>
    <w:rsid w:val="00F54392"/>
    <w:rsid w:val="00FB419F"/>
    <w:rsid w:val="00FC0642"/>
    <w:rsid w:val="00FE58CA"/>
    <w:rsid w:val="00FF0248"/>
    <w:rsid w:val="00FF65ED"/>
    <w:rsid w:val="049327E1"/>
    <w:rsid w:val="07737402"/>
    <w:rsid w:val="07E31486"/>
    <w:rsid w:val="098231C7"/>
    <w:rsid w:val="0E727FF0"/>
    <w:rsid w:val="11843E0B"/>
    <w:rsid w:val="11D45B85"/>
    <w:rsid w:val="15BE4F5A"/>
    <w:rsid w:val="193A3AF4"/>
    <w:rsid w:val="1AFC4189"/>
    <w:rsid w:val="1DC474CB"/>
    <w:rsid w:val="2D1C5E8A"/>
    <w:rsid w:val="3E667316"/>
    <w:rsid w:val="4AA507CA"/>
    <w:rsid w:val="4ADC142E"/>
    <w:rsid w:val="4EF0430D"/>
    <w:rsid w:val="4FE45CEB"/>
    <w:rsid w:val="51792210"/>
    <w:rsid w:val="529013DD"/>
    <w:rsid w:val="57F96047"/>
    <w:rsid w:val="59447A2A"/>
    <w:rsid w:val="59644A41"/>
    <w:rsid w:val="5BC31666"/>
    <w:rsid w:val="66551376"/>
    <w:rsid w:val="67EC5E16"/>
    <w:rsid w:val="6D3D1793"/>
    <w:rsid w:val="79745760"/>
    <w:rsid w:val="7B5A78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1252</Characters>
  <Lines>10</Lines>
  <Paragraphs>2</Paragraphs>
  <TotalTime>38</TotalTime>
  <ScaleCrop>false</ScaleCrop>
  <LinksUpToDate>false</LinksUpToDate>
  <CharactersWithSpaces>1469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2021-01-18T03:54:00Z</dcterms:created>
  <dc:creator>杨柳</dc:creator>
  <cp:lastModifiedBy>杨柳</cp:lastModifiedBy>
  <dcterms:modified xsi:type="dcterms:W3CDTF">2021-03-22T07:02:38Z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